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F" w:rsidRDefault="0030667F" w:rsidP="0030667F">
      <w:pPr>
        <w:spacing w:line="240" w:lineRule="atLeast"/>
        <w:rPr>
          <w:noProof w:val="0"/>
        </w:rPr>
      </w:pPr>
    </w:p>
    <w:p w:rsidR="0030667F" w:rsidRDefault="0030667F" w:rsidP="0030667F">
      <w:pPr>
        <w:pStyle w:val="Overskrift2"/>
        <w:rPr>
          <w:noProof w:val="0"/>
        </w:rPr>
      </w:pPr>
      <w:bookmarkStart w:id="0" w:name="StartSkriv"/>
      <w:bookmarkEnd w:id="0"/>
      <w:r>
        <w:rPr>
          <w:noProof w:val="0"/>
        </w:rPr>
        <w:t xml:space="preserve">Møtebok for </w:t>
      </w:r>
      <w:r w:rsidR="005D1EED">
        <w:rPr>
          <w:noProof w:val="0"/>
        </w:rPr>
        <w:t>Bamble kirkelige fellesråd</w:t>
      </w:r>
    </w:p>
    <w:p w:rsidR="0030667F" w:rsidRDefault="0030667F" w:rsidP="0030667F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5D1EED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07.11.2024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5D1EED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18:00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5D1EED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Bamble menighetshus</w:t>
            </w:r>
          </w:p>
        </w:tc>
      </w:tr>
    </w:tbl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Tilstede:</w:t>
      </w:r>
      <w:r w:rsidRPr="00BC75DD">
        <w:rPr>
          <w:noProof w:val="0"/>
          <w:sz w:val="22"/>
          <w:szCs w:val="22"/>
        </w:rPr>
        <w:t xml:space="preserve"> </w:t>
      </w:r>
    </w:p>
    <w:p w:rsidR="005D1EED" w:rsidRDefault="005D1EED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Marit Fadum Storaker, Trond </w:t>
      </w:r>
      <w:proofErr w:type="spellStart"/>
      <w:r>
        <w:rPr>
          <w:noProof w:val="0"/>
          <w:sz w:val="22"/>
          <w:szCs w:val="22"/>
        </w:rPr>
        <w:t>Engnes</w:t>
      </w:r>
      <w:proofErr w:type="spellEnd"/>
      <w:r>
        <w:rPr>
          <w:noProof w:val="0"/>
          <w:sz w:val="22"/>
          <w:szCs w:val="22"/>
        </w:rPr>
        <w:t xml:space="preserve">, Trond Bjørnar Johansen, Odd Morten Lund, Astrid Thomasberg, Turid </w:t>
      </w:r>
      <w:proofErr w:type="spellStart"/>
      <w:r>
        <w:rPr>
          <w:noProof w:val="0"/>
          <w:sz w:val="22"/>
          <w:szCs w:val="22"/>
        </w:rPr>
        <w:t>Bredsand</w:t>
      </w:r>
      <w:proofErr w:type="spellEnd"/>
      <w:r>
        <w:rPr>
          <w:noProof w:val="0"/>
          <w:sz w:val="22"/>
          <w:szCs w:val="22"/>
        </w:rPr>
        <w:t xml:space="preserve">, Rolf Heimdal, Jorunn Werswick, Magnar Kleiven, Sylvia Fuglset, Nina </w:t>
      </w:r>
      <w:proofErr w:type="spellStart"/>
      <w:r>
        <w:rPr>
          <w:noProof w:val="0"/>
          <w:sz w:val="22"/>
          <w:szCs w:val="22"/>
        </w:rPr>
        <w:t>Thormodsen</w:t>
      </w:r>
      <w:proofErr w:type="spellEnd"/>
      <w:r>
        <w:rPr>
          <w:noProof w:val="0"/>
          <w:sz w:val="22"/>
          <w:szCs w:val="22"/>
        </w:rPr>
        <w:t xml:space="preserve"> Rønning.</w:t>
      </w:r>
    </w:p>
    <w:p w:rsidR="005D1EED" w:rsidRDefault="005D1EED" w:rsidP="0030667F">
      <w:pPr>
        <w:spacing w:line="220" w:lineRule="atLeast"/>
        <w:rPr>
          <w:noProof w:val="0"/>
          <w:sz w:val="22"/>
          <w:szCs w:val="22"/>
        </w:rPr>
      </w:pPr>
    </w:p>
    <w:p w:rsidR="005D1EED" w:rsidRDefault="005D1EED" w:rsidP="0030667F">
      <w:pPr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Meldt forfall:</w:t>
      </w:r>
    </w:p>
    <w:p w:rsidR="0030667F" w:rsidRDefault="005D1EED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Mette Roland.</w:t>
      </w:r>
    </w:p>
    <w:p w:rsidR="00135317" w:rsidRDefault="00135317" w:rsidP="0030667F">
      <w:pPr>
        <w:spacing w:line="220" w:lineRule="atLeast"/>
        <w:rPr>
          <w:noProof w:val="0"/>
          <w:sz w:val="22"/>
          <w:szCs w:val="22"/>
        </w:rPr>
      </w:pPr>
    </w:p>
    <w:p w:rsidR="00135317" w:rsidRDefault="00135317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Innkalling til fellesrådsmøte 07.11.2024 godkjent.</w:t>
      </w:r>
    </w:p>
    <w:p w:rsidR="00135317" w:rsidRPr="00BC75DD" w:rsidRDefault="00135317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Protokoll fra fellesrådsmøte 19.09.2024 godkjent.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b/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Saker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5D1EED" w:rsidRDefault="005D1EED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000024</w:t>
      </w:r>
      <w:r>
        <w:rPr>
          <w:b/>
          <w:noProof w:val="0"/>
          <w:sz w:val="22"/>
        </w:rPr>
        <w:tab/>
        <w:t>Rørholt klokketårn</w:t>
      </w:r>
    </w:p>
    <w:p w:rsidR="005D1EED" w:rsidRDefault="005D1EED" w:rsidP="005D1EED">
      <w:pPr>
        <w:rPr>
          <w:noProof w:val="0"/>
          <w:sz w:val="22"/>
        </w:rPr>
      </w:pPr>
      <w:r>
        <w:rPr>
          <w:noProof w:val="0"/>
          <w:sz w:val="22"/>
        </w:rPr>
        <w:t xml:space="preserve">Kirketjenerne og kirkevergen har skrapet og malt klokketårnet på Rørholt kirkegård i september/oktober. Dårlige </w:t>
      </w:r>
      <w:proofErr w:type="spellStart"/>
      <w:r>
        <w:rPr>
          <w:noProof w:val="0"/>
          <w:sz w:val="22"/>
        </w:rPr>
        <w:t>klokkelemmer</w:t>
      </w:r>
      <w:proofErr w:type="spellEnd"/>
      <w:r>
        <w:rPr>
          <w:noProof w:val="0"/>
          <w:sz w:val="22"/>
        </w:rPr>
        <w:t xml:space="preserve"> og spir er nede til utbedring. Stil</w:t>
      </w:r>
      <w:r w:rsidR="00135317">
        <w:rPr>
          <w:noProof w:val="0"/>
          <w:sz w:val="22"/>
        </w:rPr>
        <w:t>l</w:t>
      </w:r>
      <w:r>
        <w:rPr>
          <w:noProof w:val="0"/>
          <w:sz w:val="22"/>
        </w:rPr>
        <w:t>aset vil bli helt fjernet etter at spiret og lemmene er montert opp igjen.</w:t>
      </w:r>
    </w:p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000025</w:t>
      </w:r>
      <w:r>
        <w:rPr>
          <w:b/>
          <w:noProof w:val="0"/>
          <w:sz w:val="22"/>
        </w:rPr>
        <w:tab/>
        <w:t>Utbedring inngangspartiet på Bamble menighetskontor</w:t>
      </w:r>
    </w:p>
    <w:p w:rsidR="005D1EED" w:rsidRDefault="005D1EED" w:rsidP="005D1EED">
      <w:pPr>
        <w:rPr>
          <w:noProof w:val="0"/>
          <w:sz w:val="22"/>
        </w:rPr>
      </w:pPr>
      <w:r>
        <w:rPr>
          <w:noProof w:val="0"/>
          <w:sz w:val="22"/>
        </w:rPr>
        <w:t xml:space="preserve">Flere ansatte i fellesrådet og prester gikk sammen og utbedret inngangspartiet til Bamble menighetskontor. </w:t>
      </w:r>
      <w:proofErr w:type="spellStart"/>
      <w:r>
        <w:rPr>
          <w:noProof w:val="0"/>
          <w:sz w:val="22"/>
        </w:rPr>
        <w:t>Dvs</w:t>
      </w:r>
      <w:proofErr w:type="spellEnd"/>
      <w:r>
        <w:rPr>
          <w:noProof w:val="0"/>
          <w:sz w:val="22"/>
        </w:rPr>
        <w:t xml:space="preserve"> skraping av murvegg, maling, nye og sterkere lyspærer på veien ned til kontorene, samt legging av ny grus på veien.</w:t>
      </w:r>
    </w:p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000026</w:t>
      </w:r>
      <w:r>
        <w:rPr>
          <w:b/>
          <w:noProof w:val="0"/>
          <w:sz w:val="22"/>
        </w:rPr>
        <w:tab/>
        <w:t>Det kommer to høringer til neste fellesrådsmøte</w:t>
      </w:r>
    </w:p>
    <w:p w:rsidR="005D1EED" w:rsidRDefault="005D1EED" w:rsidP="005D1EED">
      <w:pPr>
        <w:rPr>
          <w:noProof w:val="0"/>
          <w:sz w:val="22"/>
        </w:rPr>
      </w:pPr>
      <w:r>
        <w:rPr>
          <w:noProof w:val="0"/>
          <w:sz w:val="22"/>
        </w:rPr>
        <w:t xml:space="preserve">Det er </w:t>
      </w:r>
      <w:r w:rsidR="00135317">
        <w:rPr>
          <w:noProof w:val="0"/>
          <w:sz w:val="22"/>
        </w:rPr>
        <w:t>høringer om kirkevalg og felles</w:t>
      </w:r>
      <w:r>
        <w:rPr>
          <w:noProof w:val="0"/>
          <w:sz w:val="22"/>
        </w:rPr>
        <w:t>ordning innen digitalisering.</w:t>
      </w:r>
    </w:p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000027</w:t>
      </w:r>
      <w:r>
        <w:rPr>
          <w:b/>
          <w:noProof w:val="0"/>
          <w:sz w:val="22"/>
        </w:rPr>
        <w:tab/>
        <w:t xml:space="preserve">Olavskirken </w:t>
      </w:r>
      <w:r w:rsidR="00135317">
        <w:rPr>
          <w:b/>
          <w:noProof w:val="0"/>
          <w:sz w:val="22"/>
        </w:rPr>
        <w:t>–</w:t>
      </w:r>
      <w:r>
        <w:rPr>
          <w:b/>
          <w:noProof w:val="0"/>
          <w:sz w:val="22"/>
        </w:rPr>
        <w:t xml:space="preserve"> konservering</w:t>
      </w:r>
      <w:r w:rsidR="00135317">
        <w:rPr>
          <w:b/>
          <w:noProof w:val="0"/>
          <w:sz w:val="22"/>
        </w:rPr>
        <w:t xml:space="preserve"> – tegninger</w:t>
      </w:r>
      <w:r w:rsidR="00135317" w:rsidRPr="00135317">
        <w:t xml:space="preserve"> </w:t>
      </w:r>
      <w:r w:rsidR="00135317" w:rsidRPr="00135317">
        <w:rPr>
          <w:b/>
          <w:noProof w:val="0"/>
          <w:sz w:val="22"/>
        </w:rPr>
        <w:t>urnevegg</w:t>
      </w:r>
      <w:r w:rsidR="00135317">
        <w:rPr>
          <w:b/>
          <w:noProof w:val="0"/>
          <w:sz w:val="22"/>
        </w:rPr>
        <w:t xml:space="preserve"> – Varmepumper Herre kirke godkjent</w:t>
      </w:r>
    </w:p>
    <w:p w:rsidR="00135317" w:rsidRDefault="00135317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Olavskirken: </w:t>
      </w:r>
    </w:p>
    <w:p w:rsidR="00135317" w:rsidRPr="00135317" w:rsidRDefault="00135317" w:rsidP="005D1EED">
      <w:pPr>
        <w:ind w:left="1134" w:hanging="1134"/>
        <w:rPr>
          <w:noProof w:val="0"/>
          <w:sz w:val="22"/>
        </w:rPr>
      </w:pPr>
      <w:r w:rsidRPr="00135317">
        <w:rPr>
          <w:noProof w:val="0"/>
          <w:sz w:val="22"/>
        </w:rPr>
        <w:t>Kirkevergen informerte om utviklingen vedr søknad om midler til tilstandsrapport fra</w:t>
      </w:r>
    </w:p>
    <w:p w:rsidR="00135317" w:rsidRDefault="00135317" w:rsidP="005D1EED">
      <w:pPr>
        <w:ind w:left="1134" w:hanging="1134"/>
        <w:rPr>
          <w:noProof w:val="0"/>
          <w:sz w:val="22"/>
        </w:rPr>
      </w:pPr>
      <w:r w:rsidRPr="00135317">
        <w:rPr>
          <w:noProof w:val="0"/>
          <w:sz w:val="22"/>
        </w:rPr>
        <w:t>riksantikvaren</w:t>
      </w:r>
      <w:r>
        <w:rPr>
          <w:noProof w:val="0"/>
          <w:sz w:val="22"/>
        </w:rPr>
        <w:t>.</w:t>
      </w:r>
    </w:p>
    <w:p w:rsidR="00135317" w:rsidRPr="00135317" w:rsidRDefault="00135317" w:rsidP="005D1EED">
      <w:pPr>
        <w:ind w:left="1134" w:hanging="1134"/>
        <w:rPr>
          <w:b/>
          <w:noProof w:val="0"/>
          <w:sz w:val="22"/>
        </w:rPr>
      </w:pPr>
      <w:r w:rsidRPr="00135317">
        <w:rPr>
          <w:b/>
          <w:noProof w:val="0"/>
          <w:sz w:val="22"/>
        </w:rPr>
        <w:t>Tegninger urnevegg:</w:t>
      </w:r>
    </w:p>
    <w:p w:rsidR="00135317" w:rsidRDefault="00135317" w:rsidP="005D1EED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Kirkevergen informerte om at tegninger og prisoverslag er ferdigstilt fra Feste Grenland AS. Neste steg er</w:t>
      </w:r>
    </w:p>
    <w:p w:rsidR="00135317" w:rsidRDefault="00135317" w:rsidP="005D1EED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behandling i fellesråd, søknad om godkjennelse hos Statsforvalteren og søknad om midler for etableringen av</w:t>
      </w:r>
    </w:p>
    <w:p w:rsidR="00135317" w:rsidRDefault="00135317" w:rsidP="005D1EED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 xml:space="preserve">urneveggen på Eik gravlund. </w:t>
      </w:r>
    </w:p>
    <w:p w:rsidR="00135317" w:rsidRDefault="00135317" w:rsidP="005D1EED">
      <w:pPr>
        <w:ind w:left="1134" w:hanging="1134"/>
        <w:rPr>
          <w:noProof w:val="0"/>
          <w:sz w:val="22"/>
        </w:rPr>
      </w:pPr>
    </w:p>
    <w:p w:rsidR="00135317" w:rsidRPr="00135317" w:rsidRDefault="00135317" w:rsidP="005D1EED">
      <w:pPr>
        <w:ind w:left="1134" w:hanging="1134"/>
        <w:rPr>
          <w:b/>
          <w:noProof w:val="0"/>
          <w:sz w:val="22"/>
        </w:rPr>
      </w:pPr>
      <w:r w:rsidRPr="00135317">
        <w:rPr>
          <w:b/>
          <w:noProof w:val="0"/>
          <w:sz w:val="22"/>
        </w:rPr>
        <w:t xml:space="preserve">Godkjent å montere varmepumper </w:t>
      </w:r>
    </w:p>
    <w:p w:rsidR="00135317" w:rsidRDefault="00135317" w:rsidP="005D1EED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Kirkevergen informerte om at Biskopen i Agder og Telemark har godkjent forslaget til montering av to</w:t>
      </w:r>
    </w:p>
    <w:p w:rsidR="00135317" w:rsidRDefault="00135317" w:rsidP="005D1EED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varmepumper i Herre kirke.</w:t>
      </w:r>
    </w:p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021/24</w:t>
      </w:r>
      <w:r>
        <w:rPr>
          <w:b/>
          <w:noProof w:val="0"/>
          <w:sz w:val="22"/>
        </w:rPr>
        <w:tab/>
        <w:t>Investeringsmillionen 2024/2025, nytt oppsett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bookmarkStart w:id="1" w:name="Fremstilling"/>
            <w:r>
              <w:rPr>
                <w:noProof w:val="0"/>
                <w:sz w:val="22"/>
              </w:rPr>
              <w:t>Vedlagt ligger forslag til nytt oppsett vedr «Investeringsmillionen» 2024/2025</w:t>
            </w:r>
          </w:p>
        </w:tc>
      </w:tr>
      <w:bookmarkEnd w:id="1"/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lastRenderedPageBreak/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bookmarkStart w:id="2" w:name="Forslag"/>
            <w:r>
              <w:rPr>
                <w:noProof w:val="0"/>
                <w:sz w:val="22"/>
              </w:rPr>
              <w:t>Godkjent</w:t>
            </w:r>
          </w:p>
        </w:tc>
      </w:tr>
      <w:bookmarkEnd w:id="2"/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bookmarkStart w:id="3" w:name="Møtebehandling"/>
            <w:r>
              <w:rPr>
                <w:noProof w:val="0"/>
                <w:sz w:val="22"/>
              </w:rPr>
              <w:t>Investeringsmillionen ble gjennomgått av økonomirådgiveren i møtet. Det kom ikke innvendinger mot forslaget i møtebehandlingen.</w:t>
            </w:r>
          </w:p>
        </w:tc>
      </w:tr>
      <w:bookmarkEnd w:id="3"/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bookmarkStart w:id="4" w:name="Vedtak" w:colFirst="0" w:colLast="1"/>
            <w:r>
              <w:rPr>
                <w:noProof w:val="0"/>
                <w:sz w:val="22"/>
              </w:rPr>
              <w:t>Enstemmig godkjent</w:t>
            </w:r>
          </w:p>
        </w:tc>
      </w:tr>
      <w:bookmarkEnd w:id="4"/>
    </w:tbl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022/24</w:t>
      </w:r>
      <w:r>
        <w:rPr>
          <w:b/>
          <w:noProof w:val="0"/>
          <w:sz w:val="22"/>
        </w:rPr>
        <w:tab/>
        <w:t>Manglende innbetaling vedr leie av Herre kirke fra 2022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437AD5" w:rsidRDefault="005D1EED" w:rsidP="00E86DB2">
            <w:pPr>
              <w:textAlignment w:val="auto"/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Det mangler</w:t>
            </w: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 inn</w:t>
            </w: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betaling </w:t>
            </w:r>
            <w:proofErr w:type="spellStart"/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ifht</w:t>
            </w:r>
            <w:proofErr w:type="spellEnd"/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 leie av Herr</w:t>
            </w: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e kirke vedr gravferd for utenbysboende/a</w:t>
            </w: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nnet tros- eller livssamfunn fra 2022. Det er sendt to</w:t>
            </w: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 purringer</w:t>
            </w: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, og til sist en mail </w:t>
            </w: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for å innkreve pengene. Men det har ikke gitt resultat.</w:t>
            </w:r>
          </w:p>
          <w:p w:rsidR="005D1EED" w:rsidRPr="00437AD5" w:rsidRDefault="005D1EED" w:rsidP="00E86DB2">
            <w:pPr>
              <w:textAlignment w:val="auto"/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</w:pP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På bakgrunn av dette anbefaler administrasjonen fellesrådet å tilbakeføre dette utestående kravet.</w:t>
            </w:r>
          </w:p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437AD5" w:rsidRDefault="005D1EED" w:rsidP="00E86DB2">
            <w:pPr>
              <w:textAlignment w:val="auto"/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Det mangler</w:t>
            </w: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 inn</w:t>
            </w: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betaling </w:t>
            </w:r>
            <w:proofErr w:type="spellStart"/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ifht</w:t>
            </w:r>
            <w:proofErr w:type="spellEnd"/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 leie av Herr</w:t>
            </w: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e kirke vedr gravferd for utenbysboende/a</w:t>
            </w: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nnet tros- eller livssamfunn fra 2022. Det er sendt to</w:t>
            </w: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 purringer</w:t>
            </w:r>
            <w:r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 xml:space="preserve">, og til sist en mail </w:t>
            </w: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for å innkreve pengene. Men det har ikke gitt resultat.</w:t>
            </w:r>
          </w:p>
          <w:p w:rsidR="005D1EED" w:rsidRPr="00437AD5" w:rsidRDefault="005D1EED" w:rsidP="00E86DB2">
            <w:pPr>
              <w:textAlignment w:val="auto"/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</w:pPr>
            <w:r w:rsidRPr="00437AD5">
              <w:rPr>
                <w:rFonts w:eastAsia="Calibri"/>
                <w:noProof w:val="0"/>
                <w:color w:val="000000"/>
                <w:sz w:val="22"/>
                <w:szCs w:val="22"/>
                <w:lang w:eastAsia="en-US"/>
              </w:rPr>
              <w:t>På bakgrunn av dette anbefaler administrasjonen fellesrådet å tilbakeføre dette utestående kravet.</w:t>
            </w:r>
          </w:p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Saken ble forklart i møtet. </w:t>
            </w: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</w:t>
            </w:r>
          </w:p>
        </w:tc>
      </w:tr>
    </w:tbl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023/24</w:t>
      </w:r>
      <w:r>
        <w:rPr>
          <w:b/>
          <w:noProof w:val="0"/>
          <w:sz w:val="22"/>
        </w:rPr>
        <w:tab/>
        <w:t>Høringssvar - utkast høringen om regulering av taushetsplikt i tros- og liv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5648B">
              <w:rPr>
                <w:sz w:val="22"/>
                <w:szCs w:val="22"/>
              </w:rPr>
              <w:t xml:space="preserve">Departementet </w:t>
            </w:r>
            <w:r>
              <w:rPr>
                <w:sz w:val="22"/>
                <w:szCs w:val="22"/>
              </w:rPr>
              <w:t>har sendt ut</w:t>
            </w:r>
            <w:r w:rsidRPr="0025648B">
              <w:rPr>
                <w:sz w:val="22"/>
                <w:szCs w:val="22"/>
              </w:rPr>
              <w:t xml:space="preserve"> på høring forslag til endring av reguleringen av taushetsplikt for «prester i Den norske kirke, prester eller forstandere i registrerte trossamfunn» i straffeloven § 211</w:t>
            </w:r>
            <w:r>
              <w:rPr>
                <w:sz w:val="22"/>
                <w:szCs w:val="22"/>
              </w:rPr>
              <w:t xml:space="preserve"> m.m.</w:t>
            </w:r>
            <w:r w:rsidRPr="002564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Fellesråd i Norge er noen av høringsinnstansene dette har blitt sendt til.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5648B">
              <w:rPr>
                <w:sz w:val="22"/>
                <w:szCs w:val="22"/>
              </w:rPr>
              <w:t>Forslaget</w:t>
            </w:r>
            <w:r>
              <w:rPr>
                <w:sz w:val="22"/>
                <w:szCs w:val="22"/>
              </w:rPr>
              <w:t xml:space="preserve"> til endring</w:t>
            </w:r>
            <w:r w:rsidRPr="0025648B">
              <w:rPr>
                <w:sz w:val="22"/>
                <w:szCs w:val="22"/>
              </w:rPr>
              <w:t xml:space="preserve"> følger opp uttalelser fra Straffelovkommisjonen og Justis- og beredskapsdepartementet om at taushetspliktsregler bør plasseres i særlovgivningen (ikke straffeloven) og innspill som har kommet fra sektoren. Et arbeid med disse spørsmålene ble varslet i Prop. 130 L (2018–2019). I høringen presenteres to alternativer: Å oppheve taushetspliktsregelen eller å videreføre den og dermed flytte den fra straffeloven til trossamfunnsloven</w:t>
            </w:r>
            <w:r>
              <w:rPr>
                <w:sz w:val="22"/>
                <w:szCs w:val="22"/>
              </w:rPr>
              <w:t xml:space="preserve"> </w:t>
            </w:r>
            <w:r w:rsidRPr="00420778">
              <w:rPr>
                <w:color w:val="FF0000"/>
                <w:sz w:val="22"/>
                <w:szCs w:val="22"/>
              </w:rPr>
              <w:t>(side 8).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422832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422832">
              <w:rPr>
                <w:b/>
                <w:sz w:val="22"/>
                <w:szCs w:val="22"/>
              </w:rPr>
              <w:t>Høringen har</w:t>
            </w:r>
            <w:r>
              <w:rPr>
                <w:b/>
                <w:sz w:val="22"/>
                <w:szCs w:val="22"/>
              </w:rPr>
              <w:t xml:space="preserve"> ellers</w:t>
            </w:r>
            <w:r w:rsidRPr="00422832">
              <w:rPr>
                <w:b/>
                <w:sz w:val="22"/>
                <w:szCs w:val="22"/>
              </w:rPr>
              <w:t xml:space="preserve"> tre deler</w:t>
            </w:r>
            <w:r>
              <w:rPr>
                <w:b/>
                <w:sz w:val="22"/>
                <w:szCs w:val="22"/>
              </w:rPr>
              <w:t xml:space="preserve"> (side 8)</w:t>
            </w:r>
            <w:r w:rsidRPr="00422832">
              <w:rPr>
                <w:b/>
                <w:sz w:val="22"/>
                <w:szCs w:val="22"/>
              </w:rPr>
              <w:t xml:space="preserve">: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</w:t>
            </w:r>
            <w:r w:rsidRPr="0025648B">
              <w:rPr>
                <w:sz w:val="22"/>
                <w:szCs w:val="22"/>
              </w:rPr>
              <w:t>ndring av reguleringen av taushetsplikt for «prester i Den norske kirke, prester eller forstandere i registrerte trossamfunn» i straffeloven § 211</w:t>
            </w:r>
            <w:r>
              <w:rPr>
                <w:sz w:val="22"/>
                <w:szCs w:val="22"/>
              </w:rPr>
              <w:t xml:space="preserve"> </w:t>
            </w:r>
            <w:r w:rsidRPr="00420778">
              <w:rPr>
                <w:color w:val="FF0000"/>
                <w:sz w:val="22"/>
                <w:szCs w:val="22"/>
              </w:rPr>
              <w:t>(side 9).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422832" w:rsidRDefault="005D1EED" w:rsidP="00E86DB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Hør</w:t>
            </w:r>
            <w:r w:rsidRPr="00422832">
              <w:rPr>
                <w:sz w:val="22"/>
                <w:szCs w:val="22"/>
              </w:rPr>
              <w:t xml:space="preserve">ringsnotatet gjelder </w:t>
            </w:r>
            <w:r>
              <w:rPr>
                <w:sz w:val="22"/>
                <w:szCs w:val="22"/>
              </w:rPr>
              <w:t xml:space="preserve">også </w:t>
            </w:r>
            <w:r w:rsidRPr="00422832">
              <w:rPr>
                <w:sz w:val="22"/>
                <w:szCs w:val="22"/>
              </w:rPr>
              <w:t xml:space="preserve">forslag om å omformulere bevisforbudene i </w:t>
            </w:r>
          </w:p>
          <w:p w:rsidR="005D1EED" w:rsidRDefault="005D1EED" w:rsidP="00E86DB2">
            <w:pPr>
              <w:spacing w:line="276" w:lineRule="auto"/>
              <w:ind w:left="720"/>
              <w:rPr>
                <w:sz w:val="22"/>
                <w:szCs w:val="22"/>
              </w:rPr>
            </w:pPr>
            <w:r w:rsidRPr="00422832">
              <w:rPr>
                <w:sz w:val="22"/>
                <w:szCs w:val="22"/>
              </w:rPr>
              <w:t>straffeprosessloven § 119 første ledd og tvisteloven § 22-5 første ledd.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422832" w:rsidRDefault="005D1EED" w:rsidP="00E86DB2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422832">
              <w:rPr>
                <w:sz w:val="22"/>
                <w:szCs w:val="22"/>
              </w:rPr>
              <w:t xml:space="preserve">øringsnotatet gjelder forslag til enkelte mindre endringer i gravplassloven og </w:t>
            </w:r>
          </w:p>
          <w:p w:rsidR="005D1EED" w:rsidRPr="00422832" w:rsidRDefault="005D1EED" w:rsidP="00E86DB2">
            <w:pPr>
              <w:spacing w:line="276" w:lineRule="auto"/>
              <w:ind w:left="720"/>
              <w:rPr>
                <w:sz w:val="22"/>
                <w:szCs w:val="22"/>
              </w:rPr>
            </w:pPr>
            <w:r w:rsidRPr="00422832">
              <w:rPr>
                <w:sz w:val="22"/>
                <w:szCs w:val="22"/>
              </w:rPr>
              <w:t>gravplassforskriften for å effektivisere saksbehandlingen for gravplassmyndighetene:</w:t>
            </w:r>
          </w:p>
          <w:p w:rsidR="005D1EED" w:rsidRDefault="005D1EED" w:rsidP="00E86DB2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  <w:p w:rsidR="005D1EED" w:rsidRDefault="005D1EED" w:rsidP="00E86DB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422832">
              <w:rPr>
                <w:sz w:val="22"/>
                <w:szCs w:val="22"/>
              </w:rPr>
              <w:t>Mulighet for kommuner og gravplassmyndigheter</w:t>
            </w:r>
            <w:r>
              <w:rPr>
                <w:sz w:val="22"/>
                <w:szCs w:val="22"/>
              </w:rPr>
              <w:t xml:space="preserve"> å stå som ansvarlig for eller </w:t>
            </w:r>
          </w:p>
          <w:p w:rsidR="005D1EED" w:rsidRPr="00422832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422832">
              <w:rPr>
                <w:sz w:val="22"/>
                <w:szCs w:val="22"/>
              </w:rPr>
              <w:t>fester av en grav, ikke kun fysiske personer</w:t>
            </w:r>
          </w:p>
          <w:p w:rsidR="005D1EED" w:rsidRPr="00422832" w:rsidRDefault="005D1EED" w:rsidP="00E86DB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422832">
              <w:rPr>
                <w:sz w:val="22"/>
                <w:szCs w:val="22"/>
              </w:rPr>
              <w:t>Klagerett på avgjørelser om frist for gravlegging av urne</w:t>
            </w:r>
          </w:p>
          <w:p w:rsidR="005D1EED" w:rsidRDefault="005D1EED" w:rsidP="00E86DB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422832">
              <w:rPr>
                <w:sz w:val="22"/>
                <w:szCs w:val="22"/>
              </w:rPr>
              <w:t xml:space="preserve">Innsnevring av muligheten til å dispensere fra gravplassforskriften og overføring </w:t>
            </w:r>
          </w:p>
          <w:p w:rsidR="005D1EED" w:rsidRPr="00AA5758" w:rsidRDefault="005D1EED" w:rsidP="00E86DB2">
            <w:pPr>
              <w:spacing w:line="276" w:lineRule="auto"/>
              <w:ind w:left="720"/>
              <w:rPr>
                <w:sz w:val="22"/>
                <w:szCs w:val="22"/>
              </w:rPr>
            </w:pPr>
            <w:r w:rsidRPr="00AA5758">
              <w:rPr>
                <w:sz w:val="22"/>
                <w:szCs w:val="22"/>
              </w:rPr>
              <w:t>av myndighet til statsforvalteren</w:t>
            </w:r>
          </w:p>
          <w:p w:rsidR="005D1EED" w:rsidRDefault="005D1EED" w:rsidP="00E86DB2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  <w:r w:rsidRPr="00422832">
              <w:rPr>
                <w:sz w:val="22"/>
                <w:szCs w:val="22"/>
              </w:rPr>
              <w:t xml:space="preserve">Mulighet for at enkelte spørsmål i lokale gravplassvedtekter ikke lenger trenger </w:t>
            </w:r>
          </w:p>
          <w:p w:rsidR="005D1EED" w:rsidRPr="00AA5758" w:rsidRDefault="005D1EED" w:rsidP="00E86DB2">
            <w:pPr>
              <w:spacing w:line="276" w:lineRule="auto"/>
              <w:ind w:left="720"/>
              <w:rPr>
                <w:sz w:val="22"/>
                <w:szCs w:val="22"/>
              </w:rPr>
            </w:pPr>
            <w:r w:rsidRPr="00AA5758">
              <w:rPr>
                <w:sz w:val="22"/>
                <w:szCs w:val="22"/>
              </w:rPr>
              <w:t>statlig godkjenning.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numPr>
                <w:ilvl w:val="0"/>
                <w:numId w:val="3"/>
              </w:numPr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>Del I. ENDRING AV REGULERING AV TAUSHETSPLIKT FOR «PRESTER I D</w:t>
            </w:r>
            <w:r>
              <w:rPr>
                <w:b/>
                <w:sz w:val="22"/>
                <w:szCs w:val="22"/>
              </w:rPr>
              <w:t>EN NORSKE</w:t>
            </w:r>
          </w:p>
          <w:p w:rsidR="005D1EED" w:rsidRDefault="005D1EED" w:rsidP="00E86DB2">
            <w:pPr>
              <w:numPr>
                <w:ilvl w:val="0"/>
                <w:numId w:val="3"/>
              </w:numPr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>KIRKE, PRESTER ELLLER FORSTANDRERE I REGISTRERTE TROSSAMFUNN»</w:t>
            </w:r>
            <w:r>
              <w:rPr>
                <w:b/>
                <w:sz w:val="22"/>
                <w:szCs w:val="22"/>
              </w:rPr>
              <w:t xml:space="preserve"> I</w:t>
            </w:r>
          </w:p>
          <w:p w:rsidR="005D1EED" w:rsidRPr="00DC16E8" w:rsidRDefault="005D1EED" w:rsidP="00E86DB2">
            <w:pPr>
              <w:numPr>
                <w:ilvl w:val="0"/>
                <w:numId w:val="3"/>
              </w:numPr>
              <w:spacing w:line="276" w:lineRule="auto"/>
              <w:ind w:left="360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>STAFFELOVEN §211</w:t>
            </w:r>
          </w:p>
          <w:p w:rsidR="005D1EED" w:rsidRPr="00984CC4" w:rsidRDefault="005D1EED" w:rsidP="00E86DB2">
            <w:pPr>
              <w:spacing w:line="276" w:lineRule="auto"/>
              <w:ind w:left="360"/>
              <w:rPr>
                <w:color w:val="FF0000"/>
                <w:sz w:val="22"/>
                <w:szCs w:val="22"/>
              </w:rPr>
            </w:pPr>
          </w:p>
          <w:p w:rsidR="005D1EED" w:rsidRPr="00422832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422832">
              <w:rPr>
                <w:b/>
                <w:sz w:val="22"/>
                <w:szCs w:val="22"/>
              </w:rPr>
              <w:t>§ 211.Brudd på taushetsplikt for enkelte yrkesgrupper</w:t>
            </w:r>
            <w:r>
              <w:rPr>
                <w:b/>
                <w:sz w:val="22"/>
                <w:szCs w:val="22"/>
              </w:rPr>
              <w:t xml:space="preserve"> (nåværende lovgivning)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2832">
              <w:rPr>
                <w:sz w:val="22"/>
                <w:szCs w:val="22"/>
              </w:rPr>
              <w:t>Med bot eller fengsel inntil 1 år straffes prester i Den norske kirke, prester eller forstandere i registrerte trossamfunn, advokater, forsvarere i straffesaker, meklingsmenn i ekteskapssaker, og disses hjelpere, som uberettiget røper eller unnlater å hindre at andre får adgang eller kjennskap til hemmeligheter som er betrodd dem eller deres foresatte i anledning av stillingen eller oppdraget.</w:t>
            </w:r>
            <w:r>
              <w:rPr>
                <w:sz w:val="22"/>
                <w:szCs w:val="22"/>
              </w:rPr>
              <w:t xml:space="preserve"> </w:t>
            </w:r>
            <w:r w:rsidRPr="00183E28">
              <w:rPr>
                <w:sz w:val="22"/>
                <w:szCs w:val="22"/>
              </w:rPr>
              <w:t>Brudd på bestemmelsen kan straffes med fengsel inntil ett år</w:t>
            </w:r>
            <w:r>
              <w:rPr>
                <w:sz w:val="22"/>
                <w:szCs w:val="22"/>
              </w:rPr>
              <w:t xml:space="preserve"> </w:t>
            </w:r>
            <w:r w:rsidRPr="00F90151">
              <w:rPr>
                <w:color w:val="FF0000"/>
                <w:sz w:val="22"/>
                <w:szCs w:val="22"/>
              </w:rPr>
              <w:t>(side 9).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</w:t>
            </w:r>
            <w:r w:rsidRPr="00F90151">
              <w:rPr>
                <w:color w:val="FF0000"/>
                <w:sz w:val="22"/>
                <w:szCs w:val="22"/>
              </w:rPr>
              <w:t>Side 10)</w:t>
            </w:r>
            <w:r w:rsidRPr="00F90151">
              <w:rPr>
                <w:sz w:val="22"/>
                <w:szCs w:val="22"/>
              </w:rPr>
              <w:t xml:space="preserve">Den nye trossamfunnsloven som trådte i kraft 1. januar 2021, videreførte ikke rollen som «prest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eller forstander» i registrerte trossamfunn, se Prop. 130 L (2018–2019) punkt 21.7. Dette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medførte at prester og «forstandere» ikke lenger har oppgaver regulert i lov. Oppgaver og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plikter ble i den nye loven og forskriften i stedet lagt til tros- og livssynssamfunnene som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sådan. Dette har også ført til at det ikke lenger er klart hvem som faller inn under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betegnelsene «prester eller forstandere […] og disses hjelpere» i straffeloven § 211. Disse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betegnelsene viste til den avgrensede personkretsen som etter den tidligere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>trossamfunnsloven hadde lovpålagte gjøremål, og som var registrert hos fylkesmannen</w:t>
            </w:r>
            <w:r>
              <w:rPr>
                <w:sz w:val="22"/>
                <w:szCs w:val="22"/>
              </w:rPr>
              <w:t>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Taushetsplikt ble ikke tematisert i forbindelse med arbeidet med den nye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trossamfunnsloven. Temaet ble heller ikke nærmere diskutert av Stålsett-utvalget i NOU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2013:1 Det livssynsåpne samfunn. I forarbeidene til trossamfunnsloven, Prop. 130 L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(2018–2019) punkt 21.8, ble det imidlertid uttalt at det er </w:t>
            </w:r>
            <w:r>
              <w:rPr>
                <w:sz w:val="22"/>
                <w:szCs w:val="22"/>
              </w:rPr>
              <w:t>b</w:t>
            </w:r>
            <w:r w:rsidRPr="00F90151">
              <w:rPr>
                <w:sz w:val="22"/>
                <w:szCs w:val="22"/>
              </w:rPr>
              <w:t>ehov for å vurdere nærmere om det bør tas inn en spesialbestemmelse om taushetsplikt i trossamfunnsloven, og hvordan denne i så fall skal utformes. Departementet vil komme tilbake til dette.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I april 2022 sendte en gruppe bestående av representanter fra Pinsebevegelsen, Norges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Kristne Råd (NKR), Samarbeidsrådet for tros- og livssynssamfunn (STL), VAKE kirkelig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lastRenderedPageBreak/>
              <w:t>ressurssenter mot seksuelle overgrep og Stine Sofies Stif</w:t>
            </w:r>
            <w:r>
              <w:rPr>
                <w:sz w:val="22"/>
                <w:szCs w:val="22"/>
              </w:rPr>
              <w:t xml:space="preserve">telse, en henvendelse til Barne- </w:t>
            </w:r>
            <w:r w:rsidRPr="00F90151">
              <w:rPr>
                <w:sz w:val="22"/>
                <w:szCs w:val="22"/>
              </w:rPr>
              <w:t xml:space="preserve">og familiedepartementet. Av brevet fremgikk det at gruppen ønsket et møte med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statsråden for å diskutere regelverket knyttet til trossamfunns taushetsplikt og hensynet til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>å ivareta barn og ungdom. I brevet framgår det blant annet: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Vår erfaring er at dagens regelverk forstås og praktiseres ulikt både i og mellom ulike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trossamfunn. Prester og forstandere, andre ansatte og frivillige i de ulike trossamfunnene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opplever usikkerhet og vanskelige dilemmaer når de mottar opplysninger om barn og unge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som er bekymringsfulle […] Det er bred enighet om at det er behov for en gjennomgang og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klargjøring av dagens regelverk. Det er ønskelig med en prosess som er forankret i og som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>inkluderer ulike trossamfunn</w:t>
            </w:r>
            <w:r>
              <w:rPr>
                <w:sz w:val="22"/>
                <w:szCs w:val="22"/>
              </w:rPr>
              <w:t>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0151">
              <w:rPr>
                <w:color w:val="FF0000"/>
                <w:sz w:val="22"/>
                <w:szCs w:val="22"/>
              </w:rPr>
              <w:t>Side 10 og 11</w:t>
            </w:r>
            <w:r>
              <w:rPr>
                <w:sz w:val="22"/>
                <w:szCs w:val="22"/>
              </w:rPr>
              <w:t>.</w:t>
            </w:r>
            <w:r w:rsidRPr="00F90151">
              <w:rPr>
                <w:sz w:val="22"/>
                <w:szCs w:val="22"/>
              </w:rPr>
              <w:t xml:space="preserve">Representanter fra gruppen møtte statsråden i juni 2022. De har også i etterkant sendt inn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redegjørelser knyttet til taushetsplikt, og blant annet reist spørsmålet om hvor langt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taushetsplikten i tros- og livssynssamfunn strekker seg. Klarere retningslinjer for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rekkevidden av taushetsplikten i tros- og livssynssamfunn ble etterspurt, og det ble stilt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spørsmål ved hvor grensen går for når taushetsplikten opphører, om det på noe tidspunkt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>oppstår plikt eller rett til å melde fra til barnevernet, og når avvergingsplikten inntrer.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Som ledd i en bredere kunnskapsinnhenting sendte departementet i februar 2024 et brev til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et bredt utvalg av aktører på tros- og livssynsfeltet, hvor erfaringer og kunnskap om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temaet ble etterspurt. En fellesnevner i tilbakemeldingene er at kunnskapen om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taushetsplikten og forståelsen av rekkevidden av straffeloven § 211, varierer stort. Mange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samfunn legger en for vid forståelse av rekkevidden til bestemmelsen til grunn, noe som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medfører at langt flere personer og stillinger forstås å være omfattet av den strenge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taushetsplikten i § 211, enn det som faktisk er tilfelle. Departementet mener at dette er et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problem. Det fører til at personer som ikke er prester eller forstandere, tror at de er bundet </w:t>
            </w:r>
          </w:p>
          <w:p w:rsidR="005D1EED" w:rsidRPr="00F90151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 xml:space="preserve">av taushetsplikt, selv om de ikke er det. Dermed er det en fare for at bekymringsmeldinger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90151">
              <w:rPr>
                <w:sz w:val="22"/>
                <w:szCs w:val="22"/>
              </w:rPr>
              <w:t>ikke blir meldt til barnevernet.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E218B2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218B2">
              <w:rPr>
                <w:color w:val="FF0000"/>
                <w:sz w:val="22"/>
                <w:szCs w:val="22"/>
              </w:rPr>
              <w:t>Side 12</w:t>
            </w:r>
            <w:r>
              <w:rPr>
                <w:sz w:val="22"/>
                <w:szCs w:val="22"/>
              </w:rPr>
              <w:t xml:space="preserve"> </w:t>
            </w:r>
            <w:r w:rsidRPr="00E218B2">
              <w:rPr>
                <w:sz w:val="22"/>
                <w:szCs w:val="22"/>
              </w:rPr>
              <w:t>Taushetsplikten for prester og «forstandere» fremg</w:t>
            </w:r>
            <w:r>
              <w:rPr>
                <w:sz w:val="22"/>
                <w:szCs w:val="22"/>
              </w:rPr>
              <w:t>år i dag av straffeloven § 211.</w:t>
            </w:r>
          </w:p>
          <w:p w:rsidR="005D1EED" w:rsidRPr="00E218B2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218B2">
              <w:rPr>
                <w:sz w:val="22"/>
                <w:szCs w:val="22"/>
              </w:rPr>
              <w:t xml:space="preserve">Straffetrusselen retter seg mot de nevnte gruppene og deres hjelpere som «uberettiget </w:t>
            </w:r>
          </w:p>
          <w:p w:rsidR="005D1EED" w:rsidRPr="00E218B2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218B2">
              <w:rPr>
                <w:sz w:val="22"/>
                <w:szCs w:val="22"/>
              </w:rPr>
              <w:t xml:space="preserve">røper eller unnlater å hindre at andre får adgang eller kjennskap til hemmeligheter som er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218B2">
              <w:rPr>
                <w:sz w:val="22"/>
                <w:szCs w:val="22"/>
              </w:rPr>
              <w:t>betrodd dem eller deres foresatte i anledning av stillingen eller oppdraget».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Begrunnelsen for taushetsplikten er at folk skal kunne søke profesjonell behandling, hjelp eller råd fra yrkesutøvere som omfattes av bestemmelsen, uten at opplysningene de i den forbindelse gir, skal komme ut eller bli gitt videre.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E218B2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Prestens hjelpere er personer som yter bistand til personer med et slikt yrke som det er vist til i § 211. de er også underlagt den samme straffesanksjonerte taushetsplikten.</w:t>
            </w:r>
            <w:r w:rsidRPr="00E218B2">
              <w:rPr>
                <w:color w:val="FF0000"/>
                <w:sz w:val="22"/>
                <w:szCs w:val="22"/>
              </w:rPr>
              <w:t>(Side 15)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Forarbeidet til trossamfunnsloven kaster ikke lys over hvem betegnelsene «prester eller forstandere « i strafelover § 211 referer til lenger, altså ikke en klart avgrenset personkrets.  Noe som bidrar til at personkretsen i § 211 fremstår usikker, og derfor bidrar til at rettstilstanden er uklar.</w:t>
            </w:r>
            <w:r w:rsidRPr="00420778">
              <w:rPr>
                <w:color w:val="FF0000"/>
                <w:sz w:val="22"/>
                <w:szCs w:val="22"/>
              </w:rPr>
              <w:t>(Side 15)</w:t>
            </w:r>
            <w:r>
              <w:rPr>
                <w:sz w:val="22"/>
                <w:szCs w:val="22"/>
              </w:rPr>
              <w:t xml:space="preserve">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Departementet understreker også at det er viktig at det finnes trygge rom der mennesker i tillit kan betro seg, uten fykt  for hva som vil skje når man gjør det </w:t>
            </w:r>
            <w:r w:rsidRPr="00F74F77">
              <w:rPr>
                <w:color w:val="FF0000"/>
                <w:sz w:val="22"/>
                <w:szCs w:val="22"/>
              </w:rPr>
              <w:t>(Side 37).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5D1EED" w:rsidRPr="00F74F77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74F77">
              <w:rPr>
                <w:color w:val="FF0000"/>
                <w:sz w:val="22"/>
                <w:szCs w:val="22"/>
              </w:rPr>
              <w:t xml:space="preserve">Se side 37 (nederst)  og side 38 </w:t>
            </w:r>
            <w:r w:rsidRPr="00984CC4">
              <w:rPr>
                <w:sz w:val="22"/>
                <w:szCs w:val="22"/>
              </w:rPr>
              <w:t>vedr utfordringer ifht mangfold og variasjoner i tros- og livssynsamfunene.</w:t>
            </w:r>
          </w:p>
          <w:p w:rsidR="005D1EED" w:rsidRPr="00984CC4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Se side 42, pkt 7.6 og side 43 </w:t>
            </w:r>
            <w:r w:rsidRPr="00984CC4">
              <w:rPr>
                <w:sz w:val="22"/>
                <w:szCs w:val="22"/>
              </w:rPr>
              <w:t>vedr Departementets sammenligning med nordiske land ( står mer om dette lenger frem i dokumentet også).</w:t>
            </w:r>
          </w:p>
          <w:p w:rsidR="005D1EED" w:rsidRPr="00984CC4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0928B0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0928B0">
              <w:rPr>
                <w:sz w:val="22"/>
                <w:szCs w:val="22"/>
              </w:rPr>
              <w:t xml:space="preserve">Dersom trossamfunnsloven inneholdt en regel om taushetsplikt, 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928B0">
              <w:rPr>
                <w:sz w:val="22"/>
                <w:szCs w:val="22"/>
              </w:rPr>
              <w:t>ville brudd på taushetsplikten kunne straffes med hjemmel i straffeloven § 209</w:t>
            </w:r>
            <w:r w:rsidRPr="000928B0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( se side 51 pkt 7.12 og side  52.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84CC4">
              <w:rPr>
                <w:sz w:val="22"/>
                <w:szCs w:val="22"/>
              </w:rPr>
              <w:t>Se 3 alternativer måter å utforme taushetslpiktsregel i trosamfunnsloven</w:t>
            </w:r>
            <w:r>
              <w:rPr>
                <w:color w:val="FF0000"/>
                <w:sz w:val="22"/>
                <w:szCs w:val="22"/>
              </w:rPr>
              <w:t xml:space="preserve"> s 53 og 54.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>Departementets forslag: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>Departementets hovedforslag er å oppheve taushetsplikten for prester i Den norske kirke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 xml:space="preserve">og prester og «forstandere» i registrerte trossamfunn. Dette innebærer å ta følgende tekst 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 xml:space="preserve">ut av straffeloven § 211: «prester i Den norske kirke, prester eller forstandere i registrerte 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>trossamfunn». Straffeloven § 211 vil i så fall lyde: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 xml:space="preserve">Med bot eller fengsel inntil 1 år </w:t>
            </w:r>
            <w:r w:rsidRPr="00DC16E8">
              <w:rPr>
                <w:i/>
                <w:sz w:val="22"/>
                <w:szCs w:val="22"/>
              </w:rPr>
              <w:t>straffes advokater</w:t>
            </w:r>
            <w:r w:rsidRPr="00DC16E8">
              <w:rPr>
                <w:sz w:val="22"/>
                <w:szCs w:val="22"/>
              </w:rPr>
              <w:t xml:space="preserve">, forsvarere i straffesaker, meklingsmenn 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 xml:space="preserve">i ekteskapssaker, og disses hjelpere, som uberettiget røper eller unnlater å hindre at andre 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 xml:space="preserve">får adgang eller kjennskap til hemmeligheter som er betrodd dem eller deres foresatte i 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>anledning av stillingen eller oppdraget.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 xml:space="preserve">Alternativt vil taushetsplikten videreføres gjennom en ny bestemmelse i 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 xml:space="preserve">trossamfunnsloven. Departementet imøteser høringsinstansenes synspunkter på hvordan 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 xml:space="preserve">en taushetspliktsregel i trossamfunnsloven eventuelt kan utformes. Tre ulike varianter er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DC16E8">
              <w:rPr>
                <w:sz w:val="22"/>
                <w:szCs w:val="22"/>
              </w:rPr>
              <w:t>skissert i høringsnotatet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økomomsike og administrative konsekvensene er ikke vesentlige. </w:t>
            </w:r>
            <w:r w:rsidRPr="00FC5731">
              <w:rPr>
                <w:color w:val="FF0000"/>
                <w:sz w:val="22"/>
                <w:szCs w:val="22"/>
              </w:rPr>
              <w:t>Se side 56.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5435F5">
              <w:rPr>
                <w:b/>
                <w:sz w:val="22"/>
                <w:szCs w:val="22"/>
              </w:rPr>
              <w:t>Kirkevergen anbefal</w:t>
            </w:r>
            <w:r>
              <w:rPr>
                <w:b/>
                <w:sz w:val="22"/>
                <w:szCs w:val="22"/>
              </w:rPr>
              <w:t>er fellesrådet å støtte</w:t>
            </w:r>
            <w:r w:rsidRPr="005435F5">
              <w:rPr>
                <w:b/>
                <w:sz w:val="22"/>
                <w:szCs w:val="22"/>
              </w:rPr>
              <w:t xml:space="preserve"> Departementets høringsforslag</w:t>
            </w:r>
            <w:r>
              <w:rPr>
                <w:b/>
                <w:sz w:val="22"/>
                <w:szCs w:val="22"/>
              </w:rPr>
              <w:t xml:space="preserve"> med</w:t>
            </w:r>
            <w:r w:rsidRPr="00984CC4">
              <w:rPr>
                <w:sz w:val="22"/>
                <w:szCs w:val="22"/>
              </w:rPr>
              <w:t xml:space="preserve"> </w:t>
            </w:r>
            <w:r w:rsidRPr="00DC16E8">
              <w:rPr>
                <w:b/>
                <w:sz w:val="22"/>
                <w:szCs w:val="22"/>
              </w:rPr>
              <w:t>alternativ 1 som taushetspliktsregel i trossamfunnsloven: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>Trossamfunnsloven § 20a Taushetsplikt: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 xml:space="preserve">Prester i Den norske kirke og prest eller tilsvarende sjelesørger i fast organiserte tros- og 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 xml:space="preserve">livssynssamfunn, har taushetsplikt om hemmeligheter som er betrodd dem i anledning av 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>stillingen eller rollen, med mindre annet følger av vedtekter eller liknende fastsatt av tros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16E8">
              <w:rPr>
                <w:b/>
                <w:sz w:val="22"/>
                <w:szCs w:val="22"/>
              </w:rPr>
              <w:t>og livssynssamfunnet.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 xml:space="preserve">Taushetsplikten gjelder tilsvarende for medarbeidere som opptrer på vegne av personer 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 xml:space="preserve">omfattet av første ledd. 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>Taushetsplikten gjelder ikke i den utstrekning den som har krav på taushet, samtykker.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 xml:space="preserve">Tros- og livssynssamfunn skal informere om rekkevidden av taushetsplikten og om 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DC16E8">
              <w:rPr>
                <w:b/>
                <w:sz w:val="22"/>
                <w:szCs w:val="22"/>
              </w:rPr>
              <w:t>opplysningsplikter og opplysningsrett etter annet lovverk.</w:t>
            </w: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984CC4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-------------------------------------------------------------------------------------------------------------------------</w:t>
            </w: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Pr="00984CC4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 II. ENDRING I REGLENE OM BEVISFORBUD MV.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lastRenderedPageBreak/>
              <w:t xml:space="preserve">Etter </w:t>
            </w:r>
            <w:r>
              <w:rPr>
                <w:sz w:val="22"/>
                <w:szCs w:val="22"/>
              </w:rPr>
              <w:t>straffeprosess</w:t>
            </w:r>
            <w:r w:rsidRPr="00200F36">
              <w:rPr>
                <w:sz w:val="22"/>
                <w:szCs w:val="22"/>
              </w:rPr>
              <w:t xml:space="preserve">loven § 109 første ledd første punktum har enhver plikt til å møte som vitne i tingrett 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>og lagmannsrett</w:t>
            </w:r>
            <w:r>
              <w:rPr>
                <w:color w:val="FF0000"/>
                <w:sz w:val="22"/>
                <w:szCs w:val="22"/>
              </w:rPr>
              <w:t xml:space="preserve"> (Se side 57)</w:t>
            </w:r>
            <w:r w:rsidRPr="00984CC4">
              <w:rPr>
                <w:color w:val="FF0000"/>
                <w:sz w:val="22"/>
                <w:szCs w:val="22"/>
              </w:rPr>
              <w:t>.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I loven § 119 er det oppstilt et bevisforbud for forklaringer fra en rekke yrkesutøvere: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Uten samtykke av den som har krav på hemmelighold, må retten ikke ta imot forklaring av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prester i Den norske kirke, prester eller forstandere i registrerte trossamfunn, advokater,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forsvarere i straffesaker, patentrådgivere oppført på listen nevnt i artikkel 134 nr. 1 i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konvensjonen om meddelelse av europeiske patenter 5. oktober 1973, meklere i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ekteskapssaker, leger, psykologer, apotekere, jordmødre eller sykepleiere om noe som er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>betrodd dem i deres stilling.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Det samme gjelder underordnede og medhjelpere som i stillings medfør er kommet til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>kunnskap om det som er betrodd de nevnte personer.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>Forbudet faller bort når forklaringen trengs for å forebygge at noen uskyldig blir straffet.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Dersom ikke den som har krav på hemmelighold samtykker i at avhøringen foregår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offentlig, skal forklaringen bare meddeles retten og partene i møte for stengte dører og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>under pålegg om taushetsplikt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>At bevisforbudet gjelder «noe som er betrodd» yrkesutøverne «i deres stilling», betyr at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enhver opplysning yrkesutøveren har fått fra eller innhentet på vegne av personen,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omfattes, forutsatt at yrkesutøveren har blitt kontaktet i egenskap av å inneha den aktuelle </w:t>
            </w:r>
          </w:p>
          <w:p w:rsidR="005D1EED" w:rsidRPr="00200F36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 xml:space="preserve">stillingen. Opplysninger som yrkesutøveren har mottatt eller innhentet som privatperson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>eller utøver av et annet yrke eller verv, omfattes ikke av bevisforbudet.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departementets vurdering </w:t>
            </w:r>
            <w:r w:rsidRPr="00FC5731">
              <w:rPr>
                <w:color w:val="FF0000"/>
                <w:sz w:val="22"/>
                <w:szCs w:val="22"/>
              </w:rPr>
              <w:t>side 59 og 60 pkt 9.2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0F36">
              <w:rPr>
                <w:sz w:val="22"/>
                <w:szCs w:val="22"/>
              </w:rPr>
              <w:t>Forslaget har ingen vesentlige økonomiske og administrative konsekvenser</w:t>
            </w:r>
            <w:r>
              <w:rPr>
                <w:sz w:val="22"/>
                <w:szCs w:val="22"/>
              </w:rPr>
              <w:t xml:space="preserve"> </w:t>
            </w:r>
            <w:r w:rsidRPr="00200F36">
              <w:rPr>
                <w:color w:val="FF0000"/>
                <w:sz w:val="22"/>
                <w:szCs w:val="22"/>
              </w:rPr>
              <w:t>Se side 60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C5731">
              <w:rPr>
                <w:sz w:val="22"/>
                <w:szCs w:val="22"/>
              </w:rPr>
              <w:t xml:space="preserve">Kirkevergen anbefaler fellesrådet å støtte Departementets høringsforslag, </w:t>
            </w:r>
            <w:r w:rsidRPr="00200F36">
              <w:rPr>
                <w:color w:val="FF0000"/>
                <w:sz w:val="22"/>
                <w:szCs w:val="22"/>
              </w:rPr>
              <w:t>se side 60, pkt 9.3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5D1EED" w:rsidRPr="00FC5731" w:rsidRDefault="005D1EED" w:rsidP="00E86DB2">
            <w:pPr>
              <w:spacing w:line="276" w:lineRule="auto"/>
              <w:rPr>
                <w:b/>
                <w:sz w:val="32"/>
                <w:szCs w:val="32"/>
              </w:rPr>
            </w:pPr>
            <w:r w:rsidRPr="00FC5731">
              <w:rPr>
                <w:b/>
                <w:sz w:val="32"/>
                <w:szCs w:val="32"/>
              </w:rPr>
              <w:t>Kap 10 Unntak fra vitneplikt etter tvisteloven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EC1237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EC1237">
              <w:rPr>
                <w:b/>
                <w:sz w:val="22"/>
                <w:szCs w:val="22"/>
              </w:rPr>
              <w:t>Gjelden</w:t>
            </w:r>
            <w:r>
              <w:rPr>
                <w:b/>
                <w:sz w:val="22"/>
                <w:szCs w:val="22"/>
              </w:rPr>
              <w:t>d</w:t>
            </w:r>
            <w:r w:rsidRPr="00EC1237">
              <w:rPr>
                <w:b/>
                <w:sz w:val="22"/>
                <w:szCs w:val="22"/>
              </w:rPr>
              <w:t>e lov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C1237">
              <w:rPr>
                <w:b/>
                <w:color w:val="FF0000"/>
                <w:sz w:val="22"/>
                <w:szCs w:val="22"/>
              </w:rPr>
              <w:t>Se side 61</w:t>
            </w:r>
            <w:r w:rsidRPr="00EC1237">
              <w:rPr>
                <w:b/>
                <w:sz w:val="22"/>
                <w:szCs w:val="22"/>
              </w:rPr>
              <w:t>: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I loven er det fastsatt en allmenn forklarings- og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bevisplikt, dvs. at «enhver plikter å gi forklaring om faktiske forhold og gi tilgang til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gjenstander mv. som kan utgjøre bevis i en rettssak, med de begrensninger som følger av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bevisforbud og bevisfritak i kapittel 22 og andre bevisregler i loven», jf. loven § 21-5.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Loven § 22-5 regulerer bevisforbud og bevisfritak for betroelser til særlige yrkesutøvere,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inkludert til prester i Den norske kirke og prester eller «forstandere» i registrerte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>trossamfunn: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(1) Retten kan ikke ta imot bevis fra prester i Den norske kirke, prester eller forstandere i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registrerte trossamfunn, advokater, forsvarere i straffesaker, patentrådgivere oppført på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listen nevnt i artikkel 134 nr. 1 i konvensjonen om meddelelse av europeiske patenter 5.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oktober 1973, meklere i ekteskapssaker, leger, psykologer, apotekere, jordmødre eller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sykepleiere om noe som er betrodd dem i deres stilling. Det samme gjelder underordnede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og medhjelpere som i stillings medfør er kommet til kunnskap om det som er betrodd de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>nevnte personer.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lastRenderedPageBreak/>
              <w:t xml:space="preserve">(2) Retten kan frita en part eller et vitne fra å gi tilgang til bevis om noe som er betrodd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under sjelesorg, sosialt hjelpearbeid, medisinsk behandling, rettshjelp etter domstolloven §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>218 annet ledd eller lignende virksomhet, selv om forholdet ikke omfattes av første ledd.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(3) Den som har krav på hemmelighold etter denne paragraf, kan samtykke i at beviset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>føres.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forklaring av loven </w:t>
            </w:r>
            <w:r w:rsidRPr="00EC1237">
              <w:rPr>
                <w:color w:val="FF0000"/>
                <w:sz w:val="22"/>
                <w:szCs w:val="22"/>
              </w:rPr>
              <w:t>side 61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>Les Departementes vurdering</w:t>
            </w:r>
            <w:r>
              <w:rPr>
                <w:color w:val="FF0000"/>
                <w:sz w:val="22"/>
                <w:szCs w:val="22"/>
              </w:rPr>
              <w:t xml:space="preserve"> side 62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EC1237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</w:t>
            </w:r>
            <w:r w:rsidRPr="00EC1237">
              <w:rPr>
                <w:b/>
                <w:sz w:val="22"/>
                <w:szCs w:val="22"/>
              </w:rPr>
              <w:t>artementes forslag: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>Tvisteloven § 22-5 nr. 1 endres til: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EC123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Retten kan ikke ta imot bevis fra </w:t>
            </w:r>
            <w:r w:rsidRPr="00EC1237">
              <w:rPr>
                <w:i/>
                <w:sz w:val="22"/>
                <w:szCs w:val="22"/>
              </w:rPr>
              <w:t xml:space="preserve">prester eller tilsvarende sjelesørgere om betroelser </w:t>
            </w:r>
          </w:p>
          <w:p w:rsidR="005D1EED" w:rsidRPr="00EC123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EC1237">
              <w:rPr>
                <w:i/>
                <w:sz w:val="22"/>
                <w:szCs w:val="22"/>
              </w:rPr>
              <w:t>omfattet av interne regler om taushetsplikt i fast organiserte tros- eller livssynssamfunn,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advokater, forsvarere i straffesaker, patentrådgivere oppført på listen nevnt i artikkel 134 nr.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1 i konvensjonen om meddelelse av europeiske patenter 5. oktober 1973, meklere i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ekteskapssaker, leger, psykologer, apotekere, jordmødre eller sykepleiere om noe som er </w:t>
            </w:r>
          </w:p>
          <w:p w:rsidR="005D1EED" w:rsidRPr="00EC123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 xml:space="preserve">betrodd dem i deres stilling. Det samme gjelder underordnede og medhjelpere som i </w:t>
            </w:r>
          </w:p>
          <w:p w:rsidR="005D1EED" w:rsidRPr="001D1503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EC1237">
              <w:rPr>
                <w:sz w:val="22"/>
                <w:szCs w:val="22"/>
              </w:rPr>
              <w:t>stillings medfør er kommet til kunnskap om det som er betrodd de nevnte personer.</w:t>
            </w:r>
            <w:r w:rsidRPr="00EC1237">
              <w:rPr>
                <w:sz w:val="22"/>
                <w:szCs w:val="22"/>
              </w:rPr>
              <w:cr/>
            </w:r>
          </w:p>
          <w:p w:rsidR="005D1EED" w:rsidRPr="001D1503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Gjeldende l</w:t>
            </w:r>
            <w:r w:rsidRPr="001D1503">
              <w:rPr>
                <w:b/>
                <w:sz w:val="22"/>
                <w:szCs w:val="22"/>
              </w:rPr>
              <w:t>ov som endres: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1D1503">
              <w:rPr>
                <w:sz w:val="22"/>
                <w:szCs w:val="22"/>
              </w:rPr>
              <w:t xml:space="preserve">§ 22-5. Bevisforbud og bevisfritak for betroelser til særlige yrkesutøvere. (1) Retten kan ikke ta imot bevis fra prester i </w:t>
            </w:r>
            <w:r w:rsidRPr="001D1503">
              <w:rPr>
                <w:b/>
                <w:sz w:val="22"/>
                <w:szCs w:val="22"/>
              </w:rPr>
              <w:t>Den norske kirke, prester eller forstandere i registrerte trossamfunn</w:t>
            </w:r>
            <w:r w:rsidRPr="001D1503">
              <w:rPr>
                <w:sz w:val="22"/>
                <w:szCs w:val="22"/>
              </w:rPr>
              <w:t>, advokater, forsvarere i straffesaker, patentrådgivere oppført på listen nevnt i artikkel 134 nr.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F51315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F51315">
              <w:rPr>
                <w:b/>
                <w:sz w:val="22"/>
                <w:szCs w:val="22"/>
              </w:rPr>
              <w:t>Økonomiske konsekvenser: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F51315">
              <w:rPr>
                <w:sz w:val="22"/>
                <w:szCs w:val="22"/>
              </w:rPr>
              <w:t>Forslaget har ingen vesentlige økonomiske og administrative konsekvenser</w:t>
            </w:r>
            <w:r>
              <w:rPr>
                <w:sz w:val="22"/>
                <w:szCs w:val="22"/>
              </w:rPr>
              <w:t xml:space="preserve"> </w:t>
            </w:r>
            <w:r w:rsidRPr="00FC5731">
              <w:rPr>
                <w:color w:val="FF0000"/>
                <w:sz w:val="22"/>
                <w:szCs w:val="22"/>
              </w:rPr>
              <w:t>se side 62</w:t>
            </w:r>
          </w:p>
          <w:p w:rsidR="005D1EED" w:rsidRPr="00657849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657849">
              <w:rPr>
                <w:b/>
                <w:sz w:val="22"/>
                <w:szCs w:val="22"/>
              </w:rPr>
              <w:t>Kirkevergen anbefaler fellesrådet å støtte Departementets høringsforslag.</w:t>
            </w:r>
          </w:p>
          <w:p w:rsidR="005D1EED" w:rsidRPr="00657849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--------------------------------------------------------------------------------------------------------------------------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820DD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 w:rsidRPr="00820DDD">
              <w:rPr>
                <w:b/>
                <w:sz w:val="22"/>
                <w:szCs w:val="22"/>
              </w:rPr>
              <w:t>DEL III. MINDRE ENDRINGER I GRAVPLASSLOVEN OG GRAVPLASSFORSKRIFTEN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Pr="00657849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 xml:space="preserve">Festerett til grav kan bare innehas av en person, jf. gravplassloven § 14 andre ledd. Dette </w:t>
            </w:r>
          </w:p>
          <w:p w:rsidR="005D1EED" w:rsidRPr="00657849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>er forstått som en fysisk person.</w:t>
            </w:r>
          </w:p>
          <w:p w:rsidR="005D1EED" w:rsidRPr="00657849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 xml:space="preserve">Gravplassloven § 9 fjerde ledd gir den som sørger for gravferden rett til å være ansvarlig </w:t>
            </w:r>
          </w:p>
          <w:p w:rsidR="005D1EED" w:rsidRPr="00657849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>for graven. Forarbeidene omtaler</w:t>
            </w:r>
            <w:r w:rsidRPr="00657849">
              <w:rPr>
                <w:i/>
                <w:noProof w:val="0"/>
                <w:sz w:val="22"/>
                <w:szCs w:val="22"/>
              </w:rPr>
              <w:t xml:space="preserve"> ikke</w:t>
            </w:r>
            <w:r w:rsidRPr="00657849">
              <w:rPr>
                <w:noProof w:val="0"/>
                <w:sz w:val="22"/>
                <w:szCs w:val="22"/>
              </w:rPr>
              <w:t xml:space="preserve"> om dette også gjelder kommunen der kommunen 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>sørger for gravferden, se Ot.prp. nr. 90 (2000–2001)</w:t>
            </w:r>
            <w:r>
              <w:rPr>
                <w:noProof w:val="0"/>
                <w:sz w:val="22"/>
                <w:szCs w:val="22"/>
              </w:rPr>
              <w:t xml:space="preserve">, </w:t>
            </w:r>
            <w:r w:rsidRPr="00657849">
              <w:rPr>
                <w:noProof w:val="0"/>
                <w:color w:val="FF0000"/>
                <w:sz w:val="22"/>
                <w:szCs w:val="22"/>
              </w:rPr>
              <w:t>se side 63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Departementets vurdering </w:t>
            </w:r>
            <w:r w:rsidRPr="009345EF">
              <w:rPr>
                <w:noProof w:val="0"/>
                <w:color w:val="FF0000"/>
                <w:sz w:val="22"/>
                <w:szCs w:val="22"/>
              </w:rPr>
              <w:t>se side 63</w:t>
            </w:r>
            <w:r>
              <w:rPr>
                <w:noProof w:val="0"/>
                <w:color w:val="FF0000"/>
                <w:sz w:val="22"/>
                <w:szCs w:val="22"/>
              </w:rPr>
              <w:t xml:space="preserve"> og 64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</w:p>
          <w:p w:rsidR="005D1EED" w:rsidRPr="00657849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 w:rsidRPr="00657849">
              <w:rPr>
                <w:b/>
                <w:noProof w:val="0"/>
                <w:sz w:val="22"/>
                <w:szCs w:val="22"/>
              </w:rPr>
              <w:t>Departementets forslag:</w:t>
            </w:r>
          </w:p>
          <w:p w:rsidR="005D1EED" w:rsidRPr="00657849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>Gravplassloven § 9 femte ledd ny fjerde setning skal lyde:</w:t>
            </w:r>
          </w:p>
          <w:p w:rsidR="005D1EED" w:rsidRPr="00657849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 xml:space="preserve">Når kommunen sørger for gravferden, kan kommunen eller gravplassmyndigheten stå som </w:t>
            </w:r>
          </w:p>
          <w:p w:rsidR="005D1EED" w:rsidRPr="00657849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>ansvarlig for graven.</w:t>
            </w:r>
          </w:p>
          <w:p w:rsidR="005D1EED" w:rsidRPr="00657849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t xml:space="preserve">Gravplassloven § 14 andre ledd skal lyde: </w:t>
            </w:r>
          </w:p>
          <w:p w:rsidR="005D1EED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  <w:r w:rsidRPr="00657849">
              <w:rPr>
                <w:noProof w:val="0"/>
                <w:sz w:val="22"/>
                <w:szCs w:val="22"/>
              </w:rPr>
              <w:lastRenderedPageBreak/>
              <w:t xml:space="preserve">Festerett til grav kan bare innehas av en person, </w:t>
            </w:r>
            <w:r w:rsidRPr="00657849">
              <w:rPr>
                <w:i/>
                <w:noProof w:val="0"/>
                <w:sz w:val="22"/>
                <w:szCs w:val="22"/>
              </w:rPr>
              <w:t>gravplassmyndigheten eller kommunen.</w:t>
            </w:r>
          </w:p>
          <w:p w:rsidR="005D1EED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</w:p>
          <w:p w:rsidR="005D1EED" w:rsidRPr="00F51315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 w:rsidRPr="00F51315">
              <w:rPr>
                <w:b/>
                <w:noProof w:val="0"/>
                <w:sz w:val="22"/>
                <w:szCs w:val="22"/>
              </w:rPr>
              <w:t>Økonomiske konsekvenser:</w:t>
            </w:r>
          </w:p>
          <w:p w:rsidR="005D1EED" w:rsidRPr="00F51315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F51315">
              <w:rPr>
                <w:noProof w:val="0"/>
                <w:sz w:val="22"/>
                <w:szCs w:val="22"/>
              </w:rPr>
              <w:t xml:space="preserve">Endringen vil innebære en forenkling for gravplassmyndighetene. Ansvarsforholdene på </w:t>
            </w:r>
          </w:p>
          <w:p w:rsidR="005D1EED" w:rsidRPr="00F51315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F51315">
              <w:rPr>
                <w:noProof w:val="0"/>
                <w:sz w:val="22"/>
                <w:szCs w:val="22"/>
              </w:rPr>
              <w:t xml:space="preserve">gravplassen i registre kan samsvare med reelle forhold. Dersom gravplassmyndighetene </w:t>
            </w:r>
          </w:p>
          <w:p w:rsidR="005D1EED" w:rsidRPr="00F51315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F51315">
              <w:rPr>
                <w:noProof w:val="0"/>
                <w:sz w:val="22"/>
                <w:szCs w:val="22"/>
              </w:rPr>
              <w:t xml:space="preserve">og kommunene tar ansvar for flere graver enn de gjør i dag, vil dette øke kostnadene, </w:t>
            </w:r>
          </w:p>
          <w:p w:rsidR="005D1EED" w:rsidRPr="00F51315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F51315">
              <w:rPr>
                <w:noProof w:val="0"/>
                <w:sz w:val="22"/>
                <w:szCs w:val="22"/>
              </w:rPr>
              <w:t xml:space="preserve">blant annet for å sikre at gravminner ikke gjør skade. Dersom gravplassmyndighetene tar </w:t>
            </w:r>
          </w:p>
          <w:p w:rsidR="005D1EED" w:rsidRPr="00F51315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F51315">
              <w:rPr>
                <w:noProof w:val="0"/>
                <w:sz w:val="22"/>
                <w:szCs w:val="22"/>
              </w:rPr>
              <w:t xml:space="preserve">aktivt stilling til hvilke gravminner uten ansvarlig som de vil ta ansvar for, kan forslaget </w:t>
            </w:r>
          </w:p>
          <w:p w:rsidR="005D1EED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  <w:r w:rsidRPr="00F51315">
              <w:rPr>
                <w:noProof w:val="0"/>
                <w:sz w:val="22"/>
                <w:szCs w:val="22"/>
              </w:rPr>
              <w:t>øke sikkerheten på gravplassene.</w:t>
            </w:r>
            <w:r w:rsidRPr="00F51315">
              <w:rPr>
                <w:noProof w:val="0"/>
                <w:sz w:val="22"/>
                <w:szCs w:val="22"/>
              </w:rPr>
              <w:cr/>
            </w:r>
          </w:p>
          <w:p w:rsidR="005D1EED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657849">
              <w:rPr>
                <w:b/>
                <w:sz w:val="22"/>
                <w:szCs w:val="22"/>
              </w:rPr>
              <w:t>Kirkevergen anbefaler fellesrådet å støtte Departementets høringsforslag.</w:t>
            </w:r>
            <w:r>
              <w:rPr>
                <w:b/>
                <w:sz w:val="22"/>
                <w:szCs w:val="22"/>
              </w:rPr>
              <w:t xml:space="preserve"> Kirekvergen anbefaler også fellesrådet å melde Departementet at lovteksten også bør ha et punkt der det står: Gravplassmyndighet eller kommune som fester er ikke pålagt å opprettholde gravstedet etter fredningstidens er utløpt, og ergo kunne fjerne gravminnet som måtte stå på den aktuelle graven.</w:t>
            </w: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Pr="00FC5731" w:rsidRDefault="005D1EED" w:rsidP="00E86DB2">
            <w:pPr>
              <w:spacing w:line="276" w:lineRule="auto"/>
              <w:rPr>
                <w:b/>
                <w:sz w:val="32"/>
                <w:szCs w:val="32"/>
              </w:rPr>
            </w:pPr>
            <w:r w:rsidRPr="00FC5731">
              <w:rPr>
                <w:b/>
                <w:sz w:val="32"/>
                <w:szCs w:val="32"/>
              </w:rPr>
              <w:t>Klagerett vedrørende fristen for gravlegging etter kremasjon:</w:t>
            </w: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Gravplassloven § 13 lyder: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§ 13 Unntak fra reglene om frist for kremasjon og gravlegging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Fristene i § 10 første ledd og § 12 gjelder ikke når avdødes legeme skal nyttes i samsvar 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med bestemmelsene i obduksjonslova eller det er besluttet sakkyndig likundersøkelse i 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medhold av straffeprosessloven § 228.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Gravplassmyndigheten kan forlenge fristene i § 10 første ledd og § 12 dersom det 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foreligger tungtveiende grunner for det.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Dersom vilkårene for oppbevaring av kiste tilsier det, skal gravplassmyndigheten 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forkorte fristene i § 10 første ledd og § 12.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Gravplassmyndighetens avgjørelse etter denne paragraf kan ikke påklages.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Kister skal gravlegges eller kremeres innen 10 virkedager med de unntak som følger av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§13. Fordi 10 virkedager er kort tid, kan avgjørelser om forko</w:t>
            </w:r>
            <w:r>
              <w:rPr>
                <w:sz w:val="22"/>
                <w:szCs w:val="22"/>
              </w:rPr>
              <w:t xml:space="preserve">rting og forlenging av fristen 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ikke påklages. Det er etter gjeldende rett heller ikke anledning til å klage på avgjørelser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om fristen for gravlegging av askeurne etter § 12 andre ledd.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Departementets vurdering </w:t>
            </w:r>
            <w:r w:rsidRPr="004D54E8">
              <w:rPr>
                <w:color w:val="FF0000"/>
                <w:sz w:val="22"/>
                <w:szCs w:val="22"/>
              </w:rPr>
              <w:t>side 65</w:t>
            </w:r>
          </w:p>
          <w:p w:rsidR="005D1EED" w:rsidRDefault="005D1EED" w:rsidP="00E86DB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  <w:p w:rsidR="005D1EED" w:rsidRPr="004D54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4D54E8">
              <w:rPr>
                <w:b/>
                <w:sz w:val="22"/>
                <w:szCs w:val="22"/>
              </w:rPr>
              <w:t>Departementets forslag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Gravplassloven § 13 tredje og fjerde ledd skal lyde: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Dersom vilkårene for oppbevaring av kiste tilsier det, skal gravplassmyndigheten forkorte 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fristene i § 10 første ledd </w:t>
            </w:r>
            <w:r w:rsidRPr="004D54E8">
              <w:rPr>
                <w:i/>
                <w:sz w:val="22"/>
                <w:szCs w:val="22"/>
              </w:rPr>
              <w:t>og § 12 første ledd.</w:t>
            </w:r>
          </w:p>
          <w:p w:rsidR="005D1EED" w:rsidRPr="004D54E8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Gravplassmyndighetens avgjørelse etter denne paragraf kan ikke påklages. </w:t>
            </w:r>
            <w:r w:rsidRPr="004D54E8">
              <w:rPr>
                <w:i/>
                <w:sz w:val="22"/>
                <w:szCs w:val="22"/>
              </w:rPr>
              <w:t xml:space="preserve">Avgjørelse om </w:t>
            </w:r>
          </w:p>
          <w:p w:rsidR="005D1EED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4D54E8">
              <w:rPr>
                <w:i/>
                <w:sz w:val="22"/>
                <w:szCs w:val="22"/>
              </w:rPr>
              <w:t>frist for gravlegging av askeurne kan likevel påklages</w:t>
            </w:r>
            <w:r>
              <w:rPr>
                <w:i/>
                <w:sz w:val="22"/>
                <w:szCs w:val="22"/>
              </w:rPr>
              <w:t>.</w:t>
            </w:r>
          </w:p>
          <w:p w:rsidR="005D1EED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</w:p>
          <w:p w:rsidR="005D1EED" w:rsidRPr="004D54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4D54E8">
              <w:rPr>
                <w:b/>
                <w:sz w:val="22"/>
                <w:szCs w:val="22"/>
              </w:rPr>
              <w:t>Økonomiske og administrative konsekvenser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 xml:space="preserve">Endringen antas å føre til svært få klager og antas derfor ha svært begrensede økonomiske </w:t>
            </w:r>
          </w:p>
          <w:p w:rsidR="005D1EED" w:rsidRPr="004D54E8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4D54E8">
              <w:rPr>
                <w:sz w:val="22"/>
                <w:szCs w:val="22"/>
              </w:rPr>
              <w:t>og administrative konsekvenser.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 w:rsidRPr="004D54E8">
              <w:rPr>
                <w:b/>
                <w:noProof w:val="0"/>
                <w:sz w:val="22"/>
                <w:szCs w:val="22"/>
              </w:rPr>
              <w:t>Kirkevergen anbefaler fellesrådet å støtte Departementets høringsforslag.</w:t>
            </w: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</w:p>
          <w:p w:rsidR="005D1EED" w:rsidRPr="00811864" w:rsidRDefault="005D1EED" w:rsidP="00E86DB2">
            <w:pPr>
              <w:spacing w:line="276" w:lineRule="auto"/>
              <w:rPr>
                <w:b/>
                <w:noProof w:val="0"/>
                <w:sz w:val="32"/>
                <w:szCs w:val="32"/>
              </w:rPr>
            </w:pPr>
            <w:r w:rsidRPr="00811864">
              <w:rPr>
                <w:b/>
                <w:noProof w:val="0"/>
                <w:sz w:val="32"/>
                <w:szCs w:val="32"/>
              </w:rPr>
              <w:t xml:space="preserve">Endring i dispensasjonsregelen i </w:t>
            </w:r>
            <w:proofErr w:type="spellStart"/>
            <w:r w:rsidRPr="00811864">
              <w:rPr>
                <w:b/>
                <w:noProof w:val="0"/>
                <w:sz w:val="32"/>
                <w:szCs w:val="32"/>
              </w:rPr>
              <w:t>gravplassforskriften</w:t>
            </w:r>
            <w:proofErr w:type="spellEnd"/>
            <w:r w:rsidRPr="00811864">
              <w:rPr>
                <w:b/>
                <w:noProof w:val="0"/>
                <w:sz w:val="32"/>
                <w:szCs w:val="32"/>
              </w:rPr>
              <w:t xml:space="preserve"> § 39</w:t>
            </w: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</w:p>
          <w:p w:rsidR="005D1EED" w:rsidRPr="004D54E8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proofErr w:type="spellStart"/>
            <w:r w:rsidRPr="004D54E8">
              <w:rPr>
                <w:b/>
                <w:noProof w:val="0"/>
                <w:sz w:val="22"/>
                <w:szCs w:val="22"/>
              </w:rPr>
              <w:t>Gravplassforskriften</w:t>
            </w:r>
            <w:proofErr w:type="spellEnd"/>
            <w:r w:rsidRPr="004D54E8">
              <w:rPr>
                <w:b/>
                <w:noProof w:val="0"/>
                <w:sz w:val="22"/>
                <w:szCs w:val="22"/>
              </w:rPr>
              <w:t xml:space="preserve"> § 39 lyder: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Bestemmelsene i disse forskriftene kan ikke fravikes i vedtekter for gravplass med mindre 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det følger av den enkelte bestemmelse at den kan fravikes. Departementet kan fravike 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>øvrige bestemmelser i forskriftene.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Dispensasjonsregelen gir en generell mulighet for departementet til å dispensere fra 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forskriftene, enten i enkeltsaker eller som grunnlag for lokale gravplassvedtekter. 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Departementet har systematisk bedt om uttalelse fra gravplassrådgiveren og senere 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statsforvalteren før det er dispensert. Fordi privatpersoner kan søke departementet om 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>dispensasjon, har saksunderlaget i noen tilfeller vært nokså t</w:t>
            </w:r>
            <w:r>
              <w:rPr>
                <w:noProof w:val="0"/>
                <w:sz w:val="22"/>
                <w:szCs w:val="22"/>
              </w:rPr>
              <w:t xml:space="preserve">ynt. I andre tilfeller har det 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vært behov for å etterspørre gravplassmyndighetens vurdering av saken. Den generelle 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dispensasjonsmuligheten som åpner for at også privatpersoner kan søke, gir også 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>prinsipielt mulighet for at en sak får en</w:t>
            </w:r>
            <w:r>
              <w:rPr>
                <w:noProof w:val="0"/>
                <w:sz w:val="22"/>
                <w:szCs w:val="22"/>
              </w:rPr>
              <w:t xml:space="preserve"> runde til etter klageomgangen.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Les Departementets vurdering på </w:t>
            </w:r>
            <w:r w:rsidRPr="004D54E8">
              <w:rPr>
                <w:noProof w:val="0"/>
                <w:color w:val="FF0000"/>
                <w:sz w:val="22"/>
                <w:szCs w:val="22"/>
              </w:rPr>
              <w:t>side 66</w:t>
            </w:r>
            <w:r>
              <w:rPr>
                <w:noProof w:val="0"/>
                <w:color w:val="FF0000"/>
                <w:sz w:val="22"/>
                <w:szCs w:val="22"/>
              </w:rPr>
              <w:t xml:space="preserve"> og 67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</w:p>
          <w:p w:rsidR="005D1EED" w:rsidRPr="004D54E8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 w:rsidRPr="004D54E8">
              <w:rPr>
                <w:b/>
                <w:noProof w:val="0"/>
                <w:sz w:val="22"/>
                <w:szCs w:val="22"/>
              </w:rPr>
              <w:t>Departementets forslag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proofErr w:type="spellStart"/>
            <w:r w:rsidRPr="004D54E8">
              <w:rPr>
                <w:noProof w:val="0"/>
                <w:sz w:val="22"/>
                <w:szCs w:val="22"/>
              </w:rPr>
              <w:t>Gravplassforskriften</w:t>
            </w:r>
            <w:proofErr w:type="spellEnd"/>
            <w:r w:rsidRPr="004D54E8">
              <w:rPr>
                <w:noProof w:val="0"/>
                <w:sz w:val="22"/>
                <w:szCs w:val="22"/>
              </w:rPr>
              <w:t xml:space="preserve"> § 39 skal lyde:</w:t>
            </w:r>
          </w:p>
          <w:p w:rsidR="005D1EED" w:rsidRPr="004D54E8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Bestemmelsene i disse forskriftene kan ikke fravikes i vedtekter for gravplass med mindre </w:t>
            </w:r>
          </w:p>
          <w:p w:rsidR="005D1EED" w:rsidRPr="004D54E8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  <w:r w:rsidRPr="004D54E8">
              <w:rPr>
                <w:noProof w:val="0"/>
                <w:sz w:val="22"/>
                <w:szCs w:val="22"/>
              </w:rPr>
              <w:t xml:space="preserve">det følger av den enkelte bestemmelse at den kan fravikes. </w:t>
            </w:r>
            <w:r w:rsidRPr="004D54E8">
              <w:rPr>
                <w:i/>
                <w:noProof w:val="0"/>
                <w:sz w:val="22"/>
                <w:szCs w:val="22"/>
              </w:rPr>
              <w:t xml:space="preserve">Statsforvalteren kan etter søknad </w:t>
            </w:r>
          </w:p>
          <w:p w:rsidR="005D1EED" w:rsidRPr="004D54E8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  <w:r w:rsidRPr="004D54E8">
              <w:rPr>
                <w:i/>
                <w:noProof w:val="0"/>
                <w:sz w:val="22"/>
                <w:szCs w:val="22"/>
              </w:rPr>
              <w:t xml:space="preserve">fra gravplassmyndigheten [eller fra tros- eller livssynssamfunn som forvalter gravplass </w:t>
            </w:r>
          </w:p>
          <w:p w:rsidR="005D1EED" w:rsidRPr="004D54E8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  <w:r w:rsidRPr="004D54E8">
              <w:rPr>
                <w:i/>
                <w:noProof w:val="0"/>
                <w:sz w:val="22"/>
                <w:szCs w:val="22"/>
              </w:rPr>
              <w:t>godkjent etter trossamfunnsloven § 21</w:t>
            </w:r>
            <w:r w:rsidRPr="004D54E8">
              <w:rPr>
                <w:noProof w:val="0"/>
                <w:sz w:val="22"/>
                <w:szCs w:val="22"/>
              </w:rPr>
              <w:t>], fravike øvrige bestemmelser i forskriftene</w:t>
            </w:r>
            <w:r w:rsidRPr="004D54E8">
              <w:rPr>
                <w:i/>
                <w:noProof w:val="0"/>
                <w:sz w:val="22"/>
                <w:szCs w:val="22"/>
              </w:rPr>
              <w:t xml:space="preserve">. I andre </w:t>
            </w:r>
          </w:p>
          <w:p w:rsidR="005D1EED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  <w:r w:rsidRPr="004D54E8">
              <w:rPr>
                <w:i/>
                <w:noProof w:val="0"/>
                <w:sz w:val="22"/>
                <w:szCs w:val="22"/>
              </w:rPr>
              <w:t>særlige tilfeller kan departementet fravike bestemmelser i forskriftene.</w:t>
            </w:r>
          </w:p>
          <w:p w:rsidR="005D1EED" w:rsidRDefault="005D1EED" w:rsidP="00E86DB2">
            <w:pPr>
              <w:spacing w:line="276" w:lineRule="auto"/>
              <w:rPr>
                <w:i/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 xml:space="preserve">Økonomiske konsekvenser </w:t>
            </w:r>
            <w:r w:rsidRPr="009421DE">
              <w:rPr>
                <w:noProof w:val="0"/>
                <w:color w:val="FF0000"/>
                <w:sz w:val="22"/>
                <w:szCs w:val="22"/>
              </w:rPr>
              <w:t>les på side 67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 w:rsidRPr="004D54E8">
              <w:rPr>
                <w:b/>
                <w:noProof w:val="0"/>
                <w:sz w:val="22"/>
                <w:szCs w:val="22"/>
              </w:rPr>
              <w:t>Kirkevergen anbefaler fellesrådet å støtte Departementets høringsforslag</w:t>
            </w: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</w:p>
          <w:p w:rsidR="005D1EED" w:rsidRPr="00E54584" w:rsidRDefault="005D1EED" w:rsidP="00E86DB2">
            <w:pPr>
              <w:spacing w:line="276" w:lineRule="auto"/>
              <w:rPr>
                <w:noProof w:val="0"/>
                <w:color w:val="FF0000"/>
                <w:sz w:val="32"/>
                <w:szCs w:val="32"/>
              </w:rPr>
            </w:pPr>
            <w:r>
              <w:rPr>
                <w:b/>
                <w:noProof w:val="0"/>
                <w:sz w:val="32"/>
                <w:szCs w:val="32"/>
              </w:rPr>
              <w:t>Hjemmel for forskrift om visse typer vedtektsbestemmelser ikke trenger statlig godkjenning</w:t>
            </w: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>Gravplassloven § 21 første ledd lyder: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 xml:space="preserve">Gravplassmyndigheten fastsetter vedtektene for gravplasser. 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>Vedtektene skal godkjennes av statsforvalteren</w:t>
            </w: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 xml:space="preserve">At det skal være regler på lokalt nivå, går langt tilbake i </w:t>
            </w:r>
            <w:proofErr w:type="spellStart"/>
            <w:r w:rsidRPr="009421DE">
              <w:rPr>
                <w:noProof w:val="0"/>
                <w:sz w:val="22"/>
                <w:szCs w:val="22"/>
              </w:rPr>
              <w:t>gravplassektoren</w:t>
            </w:r>
            <w:proofErr w:type="spellEnd"/>
            <w:r w:rsidRPr="009421DE">
              <w:rPr>
                <w:noProof w:val="0"/>
                <w:sz w:val="22"/>
                <w:szCs w:val="22"/>
              </w:rPr>
              <w:t xml:space="preserve">. Det er en rekke </w:t>
            </w: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 xml:space="preserve">spørsmål som må reguleres lokalt, f.eks. fredningstid (som avhenger av klima og </w:t>
            </w: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 xml:space="preserve">jordbunnsforhold) og eventuelle regler om hvilken gravplass innbyggere i ulike deler av </w:t>
            </w: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>kommunen sokner til. Gravplassloven og -</w:t>
            </w:r>
            <w:proofErr w:type="spellStart"/>
            <w:r w:rsidRPr="009421DE">
              <w:rPr>
                <w:noProof w:val="0"/>
                <w:sz w:val="22"/>
                <w:szCs w:val="22"/>
              </w:rPr>
              <w:t>forskriften</w:t>
            </w:r>
            <w:proofErr w:type="spellEnd"/>
            <w:r w:rsidRPr="009421DE">
              <w:rPr>
                <w:noProof w:val="0"/>
                <w:sz w:val="22"/>
                <w:szCs w:val="22"/>
              </w:rPr>
              <w:t xml:space="preserve"> henviser en rekke spørsmål til 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lastRenderedPageBreak/>
              <w:t>nærmere regulering i vedtektene for gravplassene.</w:t>
            </w: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 xml:space="preserve">For utarbeiding og endring av gravplassvedtektene gjelder forvaltningslovens regler om </w:t>
            </w: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>forskrifter, se omtale i rundskriv Q-05/2022. Statsforvalteren har gitt en fyldig veiledning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>om lokale gravplassvedtekter. Vedtektene skal kunngjøres på Lovdata.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Pr="009421DE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Les Departementets vurdering </w:t>
            </w:r>
            <w:r w:rsidRPr="009421DE">
              <w:rPr>
                <w:noProof w:val="0"/>
                <w:color w:val="FF0000"/>
                <w:sz w:val="22"/>
                <w:szCs w:val="22"/>
              </w:rPr>
              <w:t>side 68</w:t>
            </w: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</w:p>
          <w:p w:rsidR="005D1EED" w:rsidRPr="009421DE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 w:rsidRPr="009421DE">
              <w:rPr>
                <w:b/>
                <w:noProof w:val="0"/>
                <w:sz w:val="22"/>
                <w:szCs w:val="22"/>
              </w:rPr>
              <w:t>Departementets forslag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>Gravplassloven § 21 første ledd skal lyde:</w:t>
            </w: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Pr="009421DE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 xml:space="preserve">Gravplassmyndigheten fastsetter vedtektene for gravplasser. Vedtektene skal godkjennes av 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  <w:r w:rsidRPr="009421DE">
              <w:rPr>
                <w:noProof w:val="0"/>
                <w:sz w:val="22"/>
                <w:szCs w:val="22"/>
              </w:rPr>
              <w:t>statsforvalteren. Departementet kan fastsette unntak fra kravet om godkjenning.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 xml:space="preserve">Les økonomiske og administrative konsekvenser </w:t>
            </w:r>
            <w:r w:rsidRPr="009421DE">
              <w:rPr>
                <w:noProof w:val="0"/>
                <w:color w:val="FF0000"/>
                <w:sz w:val="22"/>
                <w:szCs w:val="22"/>
              </w:rPr>
              <w:t>side 68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color w:val="FF000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 w:rsidRPr="009421DE">
              <w:rPr>
                <w:b/>
                <w:noProof w:val="0"/>
                <w:sz w:val="22"/>
                <w:szCs w:val="22"/>
              </w:rPr>
              <w:t>Kirkevergen anbefaler fellesrådet å støtte Departementets høringsforslag.</w:t>
            </w: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32"/>
                <w:szCs w:val="32"/>
              </w:rPr>
            </w:pPr>
            <w:r>
              <w:rPr>
                <w:b/>
                <w:noProof w:val="0"/>
                <w:sz w:val="32"/>
                <w:szCs w:val="32"/>
              </w:rPr>
              <w:t>Om å delegere godkjenning av krematorier til statsforvalteren</w:t>
            </w:r>
          </w:p>
          <w:p w:rsidR="005D1EED" w:rsidRDefault="005D1EED" w:rsidP="00E86DB2">
            <w:pPr>
              <w:spacing w:line="276" w:lineRule="auto"/>
              <w:rPr>
                <w:b/>
                <w:noProof w:val="0"/>
                <w:sz w:val="32"/>
                <w:szCs w:val="32"/>
              </w:rPr>
            </w:pPr>
          </w:p>
          <w:p w:rsidR="005D1EED" w:rsidRPr="00E54584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  <w:r>
              <w:rPr>
                <w:b/>
                <w:noProof w:val="0"/>
                <w:sz w:val="22"/>
                <w:szCs w:val="22"/>
              </w:rPr>
              <w:t>Denne delen av høringen anbefaler kirkevergen at ikke fellesrådet svarer på, da Bamble kirkelige fellesråd ikke har krematorier i sin drift.</w:t>
            </w:r>
          </w:p>
          <w:p w:rsidR="005D1EED" w:rsidRPr="009421DE" w:rsidRDefault="005D1EED" w:rsidP="00E86DB2">
            <w:pPr>
              <w:spacing w:line="276" w:lineRule="auto"/>
              <w:rPr>
                <w:b/>
                <w:noProof w:val="0"/>
                <w:sz w:val="22"/>
                <w:szCs w:val="22"/>
              </w:rPr>
            </w:pP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Høringen</w:t>
            </w:r>
            <w:r>
              <w:t xml:space="preserve"> </w:t>
            </w:r>
            <w:r w:rsidRPr="002A4A0A">
              <w:rPr>
                <w:noProof w:val="0"/>
                <w:sz w:val="22"/>
              </w:rPr>
              <w:t>om regulering av taushetsplikt i tros- og livssynssamfunn mv.</w:t>
            </w:r>
            <w:r>
              <w:rPr>
                <w:noProof w:val="0"/>
                <w:sz w:val="22"/>
              </w:rPr>
              <w:t xml:space="preserve"> ble diskutert i møtet. Det ble spesielt understreket at prester i Den norske kirke må være underlagt taushetsplikt, derfor må kravet om taushetsplikt overføres til Trossamfunnsloven, slik som foreslått i alternativ 1 fra departementet.</w:t>
            </w: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Forslaget til høringssvar fra administrasjonen ble enstemmig godkjent med litt justering i høringssvaret</w:t>
            </w:r>
            <w:r w:rsidR="007853AF">
              <w:rPr>
                <w:noProof w:val="0"/>
                <w:sz w:val="22"/>
              </w:rPr>
              <w:t xml:space="preserve"> i Del 1.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D</w:t>
            </w:r>
            <w:r w:rsidRPr="00014DB7">
              <w:rPr>
                <w:b/>
                <w:noProof w:val="0"/>
                <w:sz w:val="22"/>
              </w:rPr>
              <w:t>el 1</w:t>
            </w:r>
            <w:r>
              <w:rPr>
                <w:noProof w:val="0"/>
                <w:sz w:val="22"/>
              </w:rPr>
              <w:t>: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5F47F5">
              <w:rPr>
                <w:b/>
                <w:sz w:val="22"/>
                <w:szCs w:val="22"/>
              </w:rPr>
              <w:t>Endring av reguleringen av taushetsplikt for «prester i Den norske kirke, prester eller forstandere i registrerte trossamfunn» i straffeloven § 211.</w:t>
            </w:r>
            <w:r>
              <w:rPr>
                <w:sz w:val="22"/>
                <w:szCs w:val="22"/>
              </w:rPr>
              <w:t xml:space="preserve"> 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Fellesrådet understreker, enstemmig, viktigheten av at prester i Dnk, og prest eller tilsvarende sjelesørger og deres medhjelpere i fast organiserte tros- og livssynssamfunn har lovpålagt tausehtsplikt videre. Men at taushetsplikten kan overføres fra Straffeloven § 211 til Trossmfunnsloven § 20a, slik departementet foreslår i alternativ 1 i sitt forslag: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t>Trossamfunnsloven § 20a Taushetsplikt:</w:t>
            </w: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lastRenderedPageBreak/>
              <w:t xml:space="preserve">Prester i Den norske kirke og prest eller tilsvarende sjelesørger i fast organiserte tros- og </w:t>
            </w: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t xml:space="preserve">livssynssamfunn, har taushetsplikt om hemmeligheter som er betrodd dem i anledning av </w:t>
            </w: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t>stillingen eller rollen, med mindre annet følger av vedtekter eller liknende fastsatt av tros og livssynssamfunnet.</w:t>
            </w: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t xml:space="preserve">Taushetsplikten gjelder tilsvarende for medarbeidere som opptrer på vegne av personer </w:t>
            </w: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t xml:space="preserve">omfattet av første ledd. </w:t>
            </w: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t>Taushetsplikten gjelder ikke i den utstrekning den som har krav på taushet, samtykker.</w:t>
            </w: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t xml:space="preserve">Tros- og livssynssamfunn skal informere om rekkevidden av taushetsplikten og om </w:t>
            </w:r>
          </w:p>
          <w:p w:rsidR="005D1EED" w:rsidRPr="00014DB7" w:rsidRDefault="005D1EED" w:rsidP="00E86DB2">
            <w:pPr>
              <w:spacing w:line="276" w:lineRule="auto"/>
              <w:rPr>
                <w:i/>
                <w:sz w:val="22"/>
                <w:szCs w:val="22"/>
              </w:rPr>
            </w:pPr>
            <w:r w:rsidRPr="00014DB7">
              <w:rPr>
                <w:i/>
                <w:sz w:val="22"/>
                <w:szCs w:val="22"/>
              </w:rPr>
              <w:t>opplysningsplikter og opplysningsrett etter annet lovverk.</w:t>
            </w: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 II</w:t>
            </w:r>
          </w:p>
          <w:p w:rsidR="005D1EED" w:rsidRPr="00014DB7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 xml:space="preserve">Hørringsnotatet gjelder også forslag om å omformulere bevisforbudene i </w:t>
            </w: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>straffeprosessloven § 119 første ledd og tvisteloven § 22-5 første ledd.</w:t>
            </w: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Pr="00014DB7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Forslaget til departementet ble enstemmig godkjent.</w:t>
            </w: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 III</w:t>
            </w:r>
            <w:r>
              <w:rPr>
                <w:sz w:val="22"/>
                <w:szCs w:val="22"/>
              </w:rPr>
              <w:t xml:space="preserve"> </w:t>
            </w:r>
          </w:p>
          <w:p w:rsidR="005D1EED" w:rsidRPr="00014DB7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 xml:space="preserve">Høringsnotatet gjelder forslag til enkelte mindre endringer i gravplassloven og </w:t>
            </w:r>
          </w:p>
          <w:p w:rsidR="005D1EED" w:rsidRPr="00014DB7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>gravplassforskriften for å effektivisere saksbehandlingen for gravplassmyndighetene:</w:t>
            </w:r>
          </w:p>
          <w:p w:rsidR="005D1EED" w:rsidRDefault="005D1EED" w:rsidP="00E86DB2">
            <w:pPr>
              <w:spacing w:line="276" w:lineRule="auto"/>
              <w:ind w:left="720"/>
              <w:rPr>
                <w:sz w:val="22"/>
                <w:szCs w:val="22"/>
              </w:rPr>
            </w:pPr>
          </w:p>
          <w:p w:rsidR="005D1EED" w:rsidRPr="00014DB7" w:rsidRDefault="005D1EED" w:rsidP="005D1EED">
            <w:pPr>
              <w:numPr>
                <w:ilvl w:val="0"/>
                <w:numId w:val="2"/>
              </w:num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 xml:space="preserve">Mulighet for kommuner og gravplassmyndigheter å stå som ansvarlig for eller </w:t>
            </w:r>
          </w:p>
          <w:p w:rsidR="005D1EED" w:rsidRPr="00014DB7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 xml:space="preserve">            fester av en grav, ikke kun fysiske personer</w:t>
            </w:r>
          </w:p>
          <w:p w:rsidR="005D1EED" w:rsidRPr="00014DB7" w:rsidRDefault="005D1EED" w:rsidP="005D1EED">
            <w:pPr>
              <w:numPr>
                <w:ilvl w:val="0"/>
                <w:numId w:val="2"/>
              </w:num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>Klagerett på avgjørelser om frist for gravlegging av urne</w:t>
            </w:r>
          </w:p>
          <w:p w:rsidR="005D1EED" w:rsidRPr="00014DB7" w:rsidRDefault="005D1EED" w:rsidP="005D1EED">
            <w:pPr>
              <w:numPr>
                <w:ilvl w:val="0"/>
                <w:numId w:val="2"/>
              </w:num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 xml:space="preserve">Innsnevring av muligheten til å dispensere fra gravplassforskriften og overføring </w:t>
            </w:r>
          </w:p>
          <w:p w:rsidR="005D1EED" w:rsidRPr="00014DB7" w:rsidRDefault="005D1EED" w:rsidP="00E86DB2">
            <w:pPr>
              <w:spacing w:line="276" w:lineRule="auto"/>
              <w:ind w:left="720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>av myndighet til statsforvalteren</w:t>
            </w:r>
          </w:p>
          <w:p w:rsidR="005D1EED" w:rsidRPr="00014DB7" w:rsidRDefault="005D1EED" w:rsidP="005D1EED">
            <w:pPr>
              <w:numPr>
                <w:ilvl w:val="0"/>
                <w:numId w:val="2"/>
              </w:numPr>
              <w:spacing w:line="276" w:lineRule="auto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 xml:space="preserve">Mulighet for at enkelte spørsmål i lokale gravplassvedtekter ikke lenger trenger </w:t>
            </w:r>
          </w:p>
          <w:p w:rsidR="005D1EED" w:rsidRPr="00014DB7" w:rsidRDefault="005D1EED" w:rsidP="00E86DB2">
            <w:pPr>
              <w:spacing w:line="276" w:lineRule="auto"/>
              <w:ind w:left="720"/>
              <w:rPr>
                <w:b/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>statlig godkjenning.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Forslagene til departementet ble enstemmig godkjent på alle pukt </w:t>
            </w:r>
            <w:r w:rsidRPr="00014DB7">
              <w:rPr>
                <w:i/>
                <w:sz w:val="22"/>
                <w:szCs w:val="22"/>
              </w:rPr>
              <w:t>utenom et</w:t>
            </w:r>
            <w:r>
              <w:rPr>
                <w:sz w:val="22"/>
                <w:szCs w:val="22"/>
              </w:rPr>
              <w:t>.</w:t>
            </w:r>
          </w:p>
          <w:p w:rsidR="005D1EED" w:rsidRDefault="005D1EED" w:rsidP="00E86DB2">
            <w:pPr>
              <w:spacing w:line="276" w:lineRule="auto"/>
              <w:rPr>
                <w:sz w:val="22"/>
                <w:szCs w:val="22"/>
              </w:rPr>
            </w:pPr>
            <w:r w:rsidRPr="00014DB7">
              <w:rPr>
                <w:b/>
                <w:sz w:val="22"/>
                <w:szCs w:val="22"/>
              </w:rPr>
              <w:t>Punktet vedr å delegere godkjenning av krematorier til statsforvalteren</w:t>
            </w:r>
            <w:r>
              <w:rPr>
                <w:sz w:val="22"/>
                <w:szCs w:val="22"/>
              </w:rPr>
              <w:t xml:space="preserve"> ble ikke besdvart </w:t>
            </w:r>
            <w:r w:rsidRPr="00014DB7">
              <w:rPr>
                <w:sz w:val="22"/>
                <w:szCs w:val="22"/>
              </w:rPr>
              <w:t>da Bamble kirkelige fellesråd ikke har krematorier i sin drift.</w:t>
            </w:r>
          </w:p>
          <w:p w:rsidR="005D1EED" w:rsidRPr="00DC16E8" w:rsidRDefault="005D1EED" w:rsidP="00E86DB2">
            <w:pPr>
              <w:spacing w:line="276" w:lineRule="auto"/>
              <w:rPr>
                <w:sz w:val="22"/>
                <w:szCs w:val="22"/>
              </w:rPr>
            </w:pPr>
          </w:p>
          <w:p w:rsidR="005D1EED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Pr="00DC16E8" w:rsidRDefault="005D1EED" w:rsidP="00E86DB2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 </w:t>
            </w:r>
          </w:p>
        </w:tc>
      </w:tr>
    </w:tbl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024/24</w:t>
      </w:r>
      <w:r>
        <w:rPr>
          <w:b/>
          <w:noProof w:val="0"/>
          <w:sz w:val="22"/>
        </w:rPr>
        <w:tab/>
        <w:t>Forslag til ny belysning i kirkeskipet i Langesund kirke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Bamble kirkelige fellesråd har i noe tid arbeidet for å finne en alternativ løsning på belysning av kirkeskipet i Langesund kirke. Grunnen er at lampene som er i kirkeskipet i dag, ikke er mulig å bytte soklene på, slik at man fortsatt kunne ha brukt de lampene som er i bygget i dag.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Det er to leverandører som har levert tilbud: Glamox AS og Louis Poulsen Norway AS.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Begge tilbudene tar utgangspunkt i utseende på lampene som er kirkeskipet i dag, for at ikke endringene skal bli større enn nødvendig.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Det er </w:t>
            </w:r>
            <w:proofErr w:type="spellStart"/>
            <w:r>
              <w:rPr>
                <w:noProof w:val="0"/>
                <w:sz w:val="22"/>
              </w:rPr>
              <w:t>ca</w:t>
            </w:r>
            <w:proofErr w:type="spellEnd"/>
            <w:r>
              <w:rPr>
                <w:noProof w:val="0"/>
                <w:sz w:val="22"/>
              </w:rPr>
              <w:t xml:space="preserve"> kr 100.000,- som skiller de to tilbudene </w:t>
            </w:r>
            <w:proofErr w:type="spellStart"/>
            <w:r>
              <w:rPr>
                <w:noProof w:val="0"/>
                <w:sz w:val="22"/>
              </w:rPr>
              <w:t>eskl.mva</w:t>
            </w:r>
            <w:proofErr w:type="spellEnd"/>
            <w:r>
              <w:rPr>
                <w:noProof w:val="0"/>
                <w:sz w:val="22"/>
              </w:rPr>
              <w:t>, (se vedleggene til saken).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494A44" w:rsidRDefault="00494A44" w:rsidP="00E86DB2">
            <w:pPr>
              <w:spacing w:line="276" w:lineRule="auto"/>
              <w:rPr>
                <w:noProof w:val="0"/>
                <w:sz w:val="22"/>
              </w:rPr>
            </w:pPr>
            <w:bookmarkStart w:id="5" w:name="_GoBack"/>
            <w:bookmarkEnd w:id="5"/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3"/>
            </w:tblGrid>
            <w:tr w:rsidR="005D1EED" w:rsidTr="00E86DB2">
              <w:tc>
                <w:tcPr>
                  <w:tcW w:w="2689" w:type="dxa"/>
                </w:tcPr>
                <w:p w:rsidR="005D1EED" w:rsidRPr="00720520" w:rsidRDefault="005D1EED" w:rsidP="00E86DB2">
                  <w:pPr>
                    <w:spacing w:line="276" w:lineRule="auto"/>
                    <w:rPr>
                      <w:b/>
                      <w:noProof w:val="0"/>
                      <w:sz w:val="22"/>
                    </w:rPr>
                  </w:pPr>
                  <w:r w:rsidRPr="00720520">
                    <w:rPr>
                      <w:b/>
                      <w:noProof w:val="0"/>
                      <w:sz w:val="22"/>
                    </w:rPr>
                    <w:lastRenderedPageBreak/>
                    <w:t>Glamox AS</w:t>
                  </w:r>
                </w:p>
              </w:tc>
              <w:tc>
                <w:tcPr>
                  <w:tcW w:w="2693" w:type="dxa"/>
                </w:tcPr>
                <w:p w:rsidR="005D1EED" w:rsidRDefault="005D1EED" w:rsidP="00E86DB2">
                  <w:pPr>
                    <w:spacing w:line="276" w:lineRule="auto"/>
                    <w:rPr>
                      <w:noProof w:val="0"/>
                      <w:sz w:val="22"/>
                    </w:rPr>
                  </w:pPr>
                  <w:r>
                    <w:rPr>
                      <w:noProof w:val="0"/>
                      <w:sz w:val="22"/>
                    </w:rPr>
                    <w:t>Kr 293.640,00</w:t>
                  </w:r>
                </w:p>
              </w:tc>
            </w:tr>
            <w:tr w:rsidR="005D1EED" w:rsidTr="00E86DB2">
              <w:tc>
                <w:tcPr>
                  <w:tcW w:w="2689" w:type="dxa"/>
                </w:tcPr>
                <w:p w:rsidR="005D1EED" w:rsidRPr="00720520" w:rsidRDefault="005D1EED" w:rsidP="00E86DB2">
                  <w:pPr>
                    <w:spacing w:line="276" w:lineRule="auto"/>
                    <w:rPr>
                      <w:b/>
                      <w:noProof w:val="0"/>
                      <w:sz w:val="22"/>
                    </w:rPr>
                  </w:pPr>
                  <w:r w:rsidRPr="00720520">
                    <w:rPr>
                      <w:b/>
                      <w:noProof w:val="0"/>
                      <w:sz w:val="22"/>
                    </w:rPr>
                    <w:t xml:space="preserve">Louis Poulsen Norway AS             </w:t>
                  </w:r>
                </w:p>
              </w:tc>
              <w:tc>
                <w:tcPr>
                  <w:tcW w:w="2693" w:type="dxa"/>
                </w:tcPr>
                <w:p w:rsidR="005D1EED" w:rsidRDefault="005D1EED" w:rsidP="00E86DB2">
                  <w:pPr>
                    <w:spacing w:line="276" w:lineRule="auto"/>
                    <w:rPr>
                      <w:noProof w:val="0"/>
                      <w:sz w:val="22"/>
                    </w:rPr>
                  </w:pPr>
                  <w:r>
                    <w:rPr>
                      <w:noProof w:val="0"/>
                      <w:sz w:val="22"/>
                    </w:rPr>
                    <w:t>Kr 380.017,55</w:t>
                  </w:r>
                </w:p>
              </w:tc>
            </w:tr>
          </w:tbl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Pr i dag henger det en lampe i Langesund kirke, som er Louis Poulsens Norway AS sitt alternativ (demo).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Om det var mulig å velge, uten å ta hensyn til penger, mener administrasjonen og kirketjenerne som arbeider i Langesund kirke, at forslaget fra </w:t>
            </w:r>
            <w:r w:rsidRPr="007D78A8">
              <w:rPr>
                <w:noProof w:val="0"/>
                <w:sz w:val="22"/>
              </w:rPr>
              <w:t>Loui</w:t>
            </w:r>
            <w:r>
              <w:rPr>
                <w:noProof w:val="0"/>
                <w:sz w:val="22"/>
              </w:rPr>
              <w:t>s Poulsen Norway AS ville vært den løsningen som er best egnet til et kirkerom.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Løsningen til Glamox AS er også god, og egnet til et kirkerom, men kan oppfattes som ikke så forseggjort som det andre tilbudet.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Begge tilbudene er </w:t>
            </w:r>
            <w:proofErr w:type="spellStart"/>
            <w:r>
              <w:rPr>
                <w:noProof w:val="0"/>
                <w:sz w:val="22"/>
              </w:rPr>
              <w:t>eskl</w:t>
            </w:r>
            <w:proofErr w:type="spellEnd"/>
            <w:r>
              <w:rPr>
                <w:noProof w:val="0"/>
                <w:sz w:val="22"/>
              </w:rPr>
              <w:t>. arbeidet for å installere lampene. Monteringen vil ligge på kr 50.000,- til kr 100.000,-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Pr dag dato har fellesrådet satt av midler til denne utbedringen, på kr 385.000,- (</w:t>
            </w:r>
            <w:proofErr w:type="spellStart"/>
            <w:r>
              <w:rPr>
                <w:noProof w:val="0"/>
                <w:sz w:val="22"/>
              </w:rPr>
              <w:t>inkl</w:t>
            </w:r>
            <w:proofErr w:type="spellEnd"/>
            <w:r>
              <w:rPr>
                <w:noProof w:val="0"/>
                <w:sz w:val="22"/>
              </w:rPr>
              <w:t xml:space="preserve"> 2025 sparingen), men da </w:t>
            </w:r>
            <w:proofErr w:type="spellStart"/>
            <w:r>
              <w:rPr>
                <w:noProof w:val="0"/>
                <w:sz w:val="22"/>
              </w:rPr>
              <w:t>inkl</w:t>
            </w:r>
            <w:proofErr w:type="spellEnd"/>
            <w:r>
              <w:rPr>
                <w:noProof w:val="0"/>
                <w:sz w:val="22"/>
              </w:rPr>
              <w:t xml:space="preserve"> arbeidet for montering.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I første omgang tilsier dette at fellesrådet ikke har midler til å velge den dyreste og antatt beste løsningen for et kirkerom, fra Louis Poulsen Norway AS.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Men, i disse dager har administrasjonen fått signaler på at Biskopen i Agder og Telemark kommer til å godkjenne den nye løsningen på plassering av varmepumper i Herre kirke. I det prosjektet har fellesrådet spart kr 500.000,-. Noe administrasjonen i samarbeid med kirketjener på Herre, antar at er mer enn nok midler til å fullføre arbeidet.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Om det skulle være midler igjen på varmepumpe-prosjektet i Herre kirke, anbefaler administrasjonen fellesrådet å flytte de </w:t>
            </w:r>
            <w:proofErr w:type="spellStart"/>
            <w:r>
              <w:rPr>
                <w:noProof w:val="0"/>
                <w:sz w:val="22"/>
              </w:rPr>
              <w:t>evt</w:t>
            </w:r>
            <w:proofErr w:type="spellEnd"/>
            <w:r>
              <w:rPr>
                <w:noProof w:val="0"/>
                <w:sz w:val="22"/>
              </w:rPr>
              <w:t xml:space="preserve"> resterende midlene over på lys-prosjektet i kirkeskipet i Langesund kirke.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På bakgrunn av dette vil administrasjonen foreslå to mulige løsninger vedr lys-prosjektet i kirkeskipet i Langesund kirke, alt etter hvilke økonomiske rammer dette prosjektet vil ha, når man kommer dit at prosjektet skal settes i bestilling. 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Prioritet 1: Louis Poulsen Norway AS kr </w:t>
            </w:r>
            <w:r w:rsidRPr="004712CC">
              <w:rPr>
                <w:noProof w:val="0"/>
                <w:sz w:val="22"/>
              </w:rPr>
              <w:t xml:space="preserve">380.017,55 </w:t>
            </w:r>
            <w:r>
              <w:rPr>
                <w:noProof w:val="0"/>
                <w:sz w:val="22"/>
              </w:rPr>
              <w:t>+ inntil kr 100.000,- i monteringsutgifter.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Prioritet 2: </w:t>
            </w:r>
            <w:r w:rsidRPr="004712CC">
              <w:rPr>
                <w:noProof w:val="0"/>
                <w:sz w:val="22"/>
              </w:rPr>
              <w:t xml:space="preserve">Glamox AS </w:t>
            </w:r>
            <w:r>
              <w:rPr>
                <w:noProof w:val="0"/>
                <w:sz w:val="22"/>
              </w:rPr>
              <w:t>k</w:t>
            </w:r>
            <w:r w:rsidRPr="004712CC">
              <w:rPr>
                <w:noProof w:val="0"/>
                <w:sz w:val="22"/>
              </w:rPr>
              <w:t>r 293.640,00</w:t>
            </w:r>
            <w:r>
              <w:rPr>
                <w:noProof w:val="0"/>
                <w:sz w:val="22"/>
              </w:rPr>
              <w:t xml:space="preserve"> + inntil kr </w:t>
            </w:r>
            <w:r w:rsidRPr="00A2569C">
              <w:rPr>
                <w:noProof w:val="0"/>
                <w:sz w:val="22"/>
              </w:rPr>
              <w:t>100.000,- i monteringsutgifter</w:t>
            </w:r>
            <w:r>
              <w:rPr>
                <w:noProof w:val="0"/>
                <w:sz w:val="22"/>
              </w:rPr>
              <w:t>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Prosjektet vil uansett ikke settes i gang før etter jul 2024, slik at arbeidet skal komme minst mulig i konflikt med julearrangementene i kirken.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Bamble kirkelige fellesråd har i noe tid arbeidet for å finne en alternativ løsning på belysning av kirkeskipet i Langesund kirke. Grunnen er at lampene som er i kirkeskipet i dag, ikke er mulig å bytte soklene på, slik at man fortsatt kunne ha brukt de lampene som er i bygget i dag.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Det er to leverandører som har levert tilbud: Glamox AS og Louis Poulsen Norway AS.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Begge tilbudene tar utgangspunkt i utseende på lampene som er kirkeskipet i dag, for at ikke endringene skal bli større enn nødvendig.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Det er </w:t>
            </w:r>
            <w:proofErr w:type="spellStart"/>
            <w:r>
              <w:rPr>
                <w:noProof w:val="0"/>
                <w:sz w:val="22"/>
              </w:rPr>
              <w:t>ca</w:t>
            </w:r>
            <w:proofErr w:type="spellEnd"/>
            <w:r>
              <w:rPr>
                <w:noProof w:val="0"/>
                <w:sz w:val="22"/>
              </w:rPr>
              <w:t xml:space="preserve"> kr 100.000,- som skiller de to tilbudene </w:t>
            </w:r>
            <w:proofErr w:type="spellStart"/>
            <w:r>
              <w:rPr>
                <w:noProof w:val="0"/>
                <w:sz w:val="22"/>
              </w:rPr>
              <w:t>eskl.mva</w:t>
            </w:r>
            <w:proofErr w:type="spellEnd"/>
            <w:r>
              <w:rPr>
                <w:noProof w:val="0"/>
                <w:sz w:val="22"/>
              </w:rPr>
              <w:t>, (se vedleggene til saken).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68488D" w:rsidRDefault="0068488D" w:rsidP="00E86DB2">
            <w:pPr>
              <w:spacing w:line="276" w:lineRule="auto"/>
              <w:rPr>
                <w:noProof w:val="0"/>
                <w:sz w:val="22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3"/>
            </w:tblGrid>
            <w:tr w:rsidR="005D1EED" w:rsidTr="00E86DB2">
              <w:tc>
                <w:tcPr>
                  <w:tcW w:w="2689" w:type="dxa"/>
                </w:tcPr>
                <w:p w:rsidR="005D1EED" w:rsidRPr="00720520" w:rsidRDefault="005D1EED" w:rsidP="00E86DB2">
                  <w:pPr>
                    <w:spacing w:line="276" w:lineRule="auto"/>
                    <w:rPr>
                      <w:b/>
                      <w:noProof w:val="0"/>
                      <w:sz w:val="22"/>
                    </w:rPr>
                  </w:pPr>
                  <w:r w:rsidRPr="00720520">
                    <w:rPr>
                      <w:b/>
                      <w:noProof w:val="0"/>
                      <w:sz w:val="22"/>
                    </w:rPr>
                    <w:t>Glamox AS</w:t>
                  </w:r>
                </w:p>
              </w:tc>
              <w:tc>
                <w:tcPr>
                  <w:tcW w:w="2693" w:type="dxa"/>
                </w:tcPr>
                <w:p w:rsidR="005D1EED" w:rsidRDefault="005D1EED" w:rsidP="00E86DB2">
                  <w:pPr>
                    <w:spacing w:line="276" w:lineRule="auto"/>
                    <w:rPr>
                      <w:noProof w:val="0"/>
                      <w:sz w:val="22"/>
                    </w:rPr>
                  </w:pPr>
                  <w:r>
                    <w:rPr>
                      <w:noProof w:val="0"/>
                      <w:sz w:val="22"/>
                    </w:rPr>
                    <w:t>Kr 293.640,00</w:t>
                  </w:r>
                </w:p>
              </w:tc>
            </w:tr>
            <w:tr w:rsidR="005D1EED" w:rsidTr="00E86DB2">
              <w:tc>
                <w:tcPr>
                  <w:tcW w:w="2689" w:type="dxa"/>
                </w:tcPr>
                <w:p w:rsidR="005D1EED" w:rsidRPr="00720520" w:rsidRDefault="005D1EED" w:rsidP="00E86DB2">
                  <w:pPr>
                    <w:spacing w:line="276" w:lineRule="auto"/>
                    <w:rPr>
                      <w:b/>
                      <w:noProof w:val="0"/>
                      <w:sz w:val="22"/>
                    </w:rPr>
                  </w:pPr>
                  <w:r w:rsidRPr="00720520">
                    <w:rPr>
                      <w:b/>
                      <w:noProof w:val="0"/>
                      <w:sz w:val="22"/>
                    </w:rPr>
                    <w:t xml:space="preserve">Louis Poulsen Norway AS             </w:t>
                  </w:r>
                </w:p>
              </w:tc>
              <w:tc>
                <w:tcPr>
                  <w:tcW w:w="2693" w:type="dxa"/>
                </w:tcPr>
                <w:p w:rsidR="005D1EED" w:rsidRDefault="005D1EED" w:rsidP="00E86DB2">
                  <w:pPr>
                    <w:spacing w:line="276" w:lineRule="auto"/>
                    <w:rPr>
                      <w:noProof w:val="0"/>
                      <w:sz w:val="22"/>
                    </w:rPr>
                  </w:pPr>
                  <w:r>
                    <w:rPr>
                      <w:noProof w:val="0"/>
                      <w:sz w:val="22"/>
                    </w:rPr>
                    <w:t>Kr 380.017,55</w:t>
                  </w:r>
                </w:p>
              </w:tc>
            </w:tr>
          </w:tbl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Pr i dag henger det en lampe i Langesund kirke, som er Louis Poulsens Norway AS sitt alternativ (demo).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Om det var mulig å velge, uten å ta hensyn til penger, mener administrasjonen og kirketjenerne som arbeider i Langesund kirke, at forslaget fra </w:t>
            </w:r>
            <w:r w:rsidRPr="007D78A8">
              <w:rPr>
                <w:noProof w:val="0"/>
                <w:sz w:val="22"/>
              </w:rPr>
              <w:t>Loui</w:t>
            </w:r>
            <w:r>
              <w:rPr>
                <w:noProof w:val="0"/>
                <w:sz w:val="22"/>
              </w:rPr>
              <w:t>s Poulsen Norway AS ville vært den løsningen som er best egnet til et kirkerom.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Løsningen til Glamox AS er også god, og egnet til et kirkerom, men kan oppfattes som ikke så forseggjort som det andre tilbudet.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Begge tilbudene er </w:t>
            </w:r>
            <w:proofErr w:type="spellStart"/>
            <w:r>
              <w:rPr>
                <w:noProof w:val="0"/>
                <w:sz w:val="22"/>
              </w:rPr>
              <w:t>eskl</w:t>
            </w:r>
            <w:proofErr w:type="spellEnd"/>
            <w:r>
              <w:rPr>
                <w:noProof w:val="0"/>
                <w:sz w:val="22"/>
              </w:rPr>
              <w:t>. arbeidet for å installere lampene. Monteringen vil ligge på kr 50.000,- til kr 100.000,-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Pr dag dato har fellesrådet satt av midler til denne utbedringen, på kr 385.000,- (</w:t>
            </w:r>
            <w:proofErr w:type="spellStart"/>
            <w:r>
              <w:rPr>
                <w:noProof w:val="0"/>
                <w:sz w:val="22"/>
              </w:rPr>
              <w:t>inkl</w:t>
            </w:r>
            <w:proofErr w:type="spellEnd"/>
            <w:r>
              <w:rPr>
                <w:noProof w:val="0"/>
                <w:sz w:val="22"/>
              </w:rPr>
              <w:t xml:space="preserve"> 2025 sparingen), men da </w:t>
            </w:r>
            <w:proofErr w:type="spellStart"/>
            <w:r>
              <w:rPr>
                <w:noProof w:val="0"/>
                <w:sz w:val="22"/>
              </w:rPr>
              <w:t>inkl</w:t>
            </w:r>
            <w:proofErr w:type="spellEnd"/>
            <w:r>
              <w:rPr>
                <w:noProof w:val="0"/>
                <w:sz w:val="22"/>
              </w:rPr>
              <w:t xml:space="preserve"> arbeidet for montering.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I første omgang tilsier dette at fellesrådet ikke har midler til å velge den dyreste og antatt beste løsningen for et kirkerom, fra Louis Poulsen Norway AS.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Men, i disse dager har administrasjonen fått signaler på at Biskopen i Agder og Telemark kommer til å godkjenne den nye løsningen på plassering av varmepumper i Herre kirke. I det prosjektet har fellesrådet spart kr 500.000,-. Noe administrasjonen i samarbeid med kirketjener på Herre, antar at er mer enn nok midler til å fullføre arbeidet.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Om det skulle være midler igjen på varmepumpe-prosjektet i Herre kirke, anbefaler administrasjonen fellesrådet å flytte de </w:t>
            </w:r>
            <w:proofErr w:type="spellStart"/>
            <w:r>
              <w:rPr>
                <w:noProof w:val="0"/>
                <w:sz w:val="22"/>
              </w:rPr>
              <w:t>evt</w:t>
            </w:r>
            <w:proofErr w:type="spellEnd"/>
            <w:r>
              <w:rPr>
                <w:noProof w:val="0"/>
                <w:sz w:val="22"/>
              </w:rPr>
              <w:t xml:space="preserve"> resterende midlene over på lys-prosjektet i kirkeskipet i Langesund kirke.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På bakgrunn av dette vil administrasjonen foreslå to mulige løsninger vedr lys-prosjektet i kirkeskipet i Langesund kirke, alt etter hvilke økonomiske rammer dette prosjektet vil ha, når man kommer dit at prosjektet skal settes i bestilling. 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Prioritet 1: Louis Poulsen Norway AS kr </w:t>
            </w:r>
            <w:r w:rsidRPr="004712CC">
              <w:rPr>
                <w:noProof w:val="0"/>
                <w:sz w:val="22"/>
              </w:rPr>
              <w:t xml:space="preserve">380.017,55 </w:t>
            </w:r>
            <w:r>
              <w:rPr>
                <w:noProof w:val="0"/>
                <w:sz w:val="22"/>
              </w:rPr>
              <w:t>+ inntil kr 100.000,- i monteringsutgifter.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Prioritet 2: </w:t>
            </w:r>
            <w:r w:rsidRPr="004712CC">
              <w:rPr>
                <w:noProof w:val="0"/>
                <w:sz w:val="22"/>
              </w:rPr>
              <w:t xml:space="preserve">Glamox AS </w:t>
            </w:r>
            <w:r>
              <w:rPr>
                <w:noProof w:val="0"/>
                <w:sz w:val="22"/>
              </w:rPr>
              <w:t>k</w:t>
            </w:r>
            <w:r w:rsidRPr="004712CC">
              <w:rPr>
                <w:noProof w:val="0"/>
                <w:sz w:val="22"/>
              </w:rPr>
              <w:t>r 293.640,00</w:t>
            </w:r>
            <w:r>
              <w:rPr>
                <w:noProof w:val="0"/>
                <w:sz w:val="22"/>
              </w:rPr>
              <w:t xml:space="preserve"> + inntil kr </w:t>
            </w:r>
            <w:r w:rsidRPr="00A2569C">
              <w:rPr>
                <w:noProof w:val="0"/>
                <w:sz w:val="22"/>
              </w:rPr>
              <w:t>100.000,- i monteringsutgifter</w:t>
            </w:r>
            <w:r>
              <w:rPr>
                <w:noProof w:val="0"/>
                <w:sz w:val="22"/>
              </w:rPr>
              <w:t>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Prosjektet vil uansett ikke settes i gang før etter jul 2024, slik at arbeidet skal komme minst mulig i konflikt med julearrangementene i kirken.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gjennomgått og diskutert i møtet. Fellesrådet kom frem til at lampene fra Louis Poulsen Norway AS velges, om økonomien tilsier det, etter montering av varmepumper i Herre kirke. Bakgrunn for valget er at fel</w:t>
            </w:r>
            <w:r w:rsidR="0068488D">
              <w:rPr>
                <w:noProof w:val="0"/>
                <w:sz w:val="22"/>
              </w:rPr>
              <w:t>lesrådet oppfatter lampene som b</w:t>
            </w:r>
            <w:r>
              <w:rPr>
                <w:noProof w:val="0"/>
                <w:sz w:val="22"/>
              </w:rPr>
              <w:t>est egnet for et kirkerom.</w:t>
            </w:r>
          </w:p>
        </w:tc>
      </w:tr>
    </w:tbl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</w:p>
    <w:p w:rsidR="005D1EED" w:rsidRDefault="005D1EED" w:rsidP="005D1EED">
      <w:pPr>
        <w:rPr>
          <w:i/>
          <w:noProof w:val="0"/>
          <w:sz w:val="22"/>
        </w:rPr>
      </w:pPr>
      <w:r>
        <w:rPr>
          <w:i/>
          <w:noProof w:val="0"/>
          <w:sz w:val="22"/>
        </w:rPr>
        <w:lastRenderedPageBreak/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5D1EED" w:rsidRPr="00344EC7" w:rsidTr="00E86DB2">
        <w:tc>
          <w:tcPr>
            <w:tcW w:w="9779" w:type="dxa"/>
          </w:tcPr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 å gå til anskaffelse av lampene fra Louis Poulsen Norway AS, som var prioritet 1 i forslaget fra kirkevergen. Vedtaket er gjort med forbehold om at det er midler nok til anskaffelsen i investeringsmillionen etter at varmepumpene i Herre kirke er montert.</w:t>
            </w:r>
          </w:p>
          <w:p w:rsidR="005D1EED" w:rsidRDefault="005D1EED" w:rsidP="00E86DB2">
            <w:pPr>
              <w:spacing w:line="276" w:lineRule="auto"/>
              <w:rPr>
                <w:noProof w:val="0"/>
                <w:sz w:val="22"/>
              </w:rPr>
            </w:pPr>
          </w:p>
          <w:p w:rsidR="005D1EED" w:rsidRPr="00344EC7" w:rsidRDefault="005D1EED" w:rsidP="00E86DB2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Kirkevergen søker Biskopen i Agder og Telemark tjenestevei om godkjennelse av prosjektet.</w:t>
            </w:r>
          </w:p>
        </w:tc>
      </w:tr>
    </w:tbl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rPr>
          <w:noProof w:val="0"/>
          <w:sz w:val="22"/>
        </w:rPr>
      </w:pPr>
    </w:p>
    <w:p w:rsidR="005D1EED" w:rsidRDefault="005D1EED" w:rsidP="005D1EED">
      <w:pPr>
        <w:rPr>
          <w:noProof w:val="0"/>
        </w:rPr>
      </w:pPr>
    </w:p>
    <w:p w:rsidR="005D1EED" w:rsidRDefault="005D1EED" w:rsidP="005D1EED">
      <w:pPr>
        <w:rPr>
          <w:noProof w:val="0"/>
        </w:rPr>
      </w:pPr>
    </w:p>
    <w:p w:rsidR="005D1EED" w:rsidRDefault="005D1EED" w:rsidP="005D1EED">
      <w:pPr>
        <w:rPr>
          <w:noProof w:val="0"/>
        </w:rPr>
      </w:pPr>
      <w:r>
        <w:rPr>
          <w:noProof w:val="0"/>
        </w:rPr>
        <w:t>For Bamble kirkelige fellesråd</w:t>
      </w:r>
    </w:p>
    <w:p w:rsidR="005D1EED" w:rsidRDefault="005D1EED" w:rsidP="005D1EED">
      <w:pPr>
        <w:rPr>
          <w:noProof w:val="0"/>
        </w:rPr>
      </w:pPr>
    </w:p>
    <w:p w:rsidR="005D1EED" w:rsidRDefault="005D1EED" w:rsidP="005D1EED">
      <w:pPr>
        <w:rPr>
          <w:noProof w:val="0"/>
        </w:rPr>
      </w:pPr>
      <w:r>
        <w:rPr>
          <w:noProof w:val="0"/>
        </w:rPr>
        <w:t>Astrid Thomasberg</w:t>
      </w:r>
    </w:p>
    <w:p w:rsidR="009F3EA8" w:rsidRPr="0030667F" w:rsidRDefault="005D1EED" w:rsidP="005D1EED">
      <w:pPr>
        <w:rPr>
          <w:noProof w:val="0"/>
        </w:rPr>
      </w:pPr>
      <w:r>
        <w:rPr>
          <w:noProof w:val="0"/>
        </w:rPr>
        <w:t>Kirkeverge</w:t>
      </w:r>
    </w:p>
    <w:sectPr w:rsidR="009F3EA8" w:rsidRPr="0030667F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ED" w:rsidRDefault="005D1EED" w:rsidP="0030667F">
      <w:r>
        <w:separator/>
      </w:r>
    </w:p>
  </w:endnote>
  <w:endnote w:type="continuationSeparator" w:id="0">
    <w:p w:rsidR="005D1EED" w:rsidRDefault="005D1EED" w:rsidP="003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panose1 w:val="020206060605060203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ED" w:rsidRDefault="005D1EED" w:rsidP="0030667F">
      <w:r>
        <w:separator/>
      </w:r>
    </w:p>
  </w:footnote>
  <w:footnote w:type="continuationSeparator" w:id="0">
    <w:p w:rsidR="005D1EED" w:rsidRDefault="005D1EED" w:rsidP="0030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30667F" w:rsidTr="009F3EA8">
      <w:trPr>
        <w:trHeight w:val="739"/>
      </w:trPr>
      <w:tc>
        <w:tcPr>
          <w:tcW w:w="709" w:type="dxa"/>
          <w:hideMark/>
        </w:tcPr>
        <w:p w:rsidR="0030667F" w:rsidRDefault="0030667F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30667F" w:rsidRDefault="000860AD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30667F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30667F" w:rsidTr="009F3EA8">
            <w:tc>
              <w:tcPr>
                <w:tcW w:w="8355" w:type="dxa"/>
                <w:hideMark/>
              </w:tcPr>
              <w:p w:rsidR="0030667F" w:rsidRPr="001C5C4A" w:rsidRDefault="005D1EED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Bamble kirkelige fellesråd</w:t>
                </w:r>
              </w:p>
            </w:tc>
          </w:tr>
        </w:tbl>
        <w:p w:rsidR="0030667F" w:rsidRDefault="0030667F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9F3EA8" w:rsidRPr="0030667F" w:rsidRDefault="009F3EA8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094C"/>
    <w:multiLevelType w:val="hybridMultilevel"/>
    <w:tmpl w:val="AD18FDFA"/>
    <w:lvl w:ilvl="0" w:tplc="638EB1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0368"/>
    <w:multiLevelType w:val="hybridMultilevel"/>
    <w:tmpl w:val="52ECC178"/>
    <w:lvl w:ilvl="0" w:tplc="CE68E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2022"/>
    <w:multiLevelType w:val="hybridMultilevel"/>
    <w:tmpl w:val="BB24097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ED"/>
    <w:rsid w:val="000860AD"/>
    <w:rsid w:val="00135317"/>
    <w:rsid w:val="0030667F"/>
    <w:rsid w:val="00494A44"/>
    <w:rsid w:val="005D1EED"/>
    <w:rsid w:val="0068488D"/>
    <w:rsid w:val="00747294"/>
    <w:rsid w:val="007853AF"/>
    <w:rsid w:val="009F3EA8"/>
    <w:rsid w:val="00EC458F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0E5B57"/>
  <w15:chartTrackingRefBased/>
  <w15:docId w15:val="{155B3654-C80F-4AFB-9588-BBC2763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0667F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30667F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667F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667F"/>
    <w:rPr>
      <w:noProof/>
    </w:rPr>
  </w:style>
  <w:style w:type="table" w:styleId="Tabellrutenett">
    <w:name w:val="Table Grid"/>
    <w:basedOn w:val="Vanligtabell"/>
    <w:uiPriority w:val="59"/>
    <w:rsid w:val="005D1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abora\Saksbehandler\Templates\A0000188\MAL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MAL5</Template>
  <TotalTime>1</TotalTime>
  <Pages>14</Pages>
  <Words>5209</Words>
  <Characters>27611</Characters>
  <Application>Microsoft Office Word</Application>
  <DocSecurity>0</DocSecurity>
  <Lines>230</Lines>
  <Paragraphs>65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32755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Thomasberg</dc:creator>
  <cp:keywords/>
  <dc:description/>
  <cp:lastModifiedBy>Astrid Thomasberg</cp:lastModifiedBy>
  <cp:revision>3</cp:revision>
  <cp:lastPrinted>1999-01-12T13:26:00Z</cp:lastPrinted>
  <dcterms:created xsi:type="dcterms:W3CDTF">2024-11-12T13:25:00Z</dcterms:created>
  <dcterms:modified xsi:type="dcterms:W3CDTF">2024-11-12T13:25:00Z</dcterms:modified>
</cp:coreProperties>
</file>